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AD20" w14:textId="1A456818" w:rsidR="00942789" w:rsidRDefault="00942789" w:rsidP="009D0CB0">
      <w:pPr>
        <w:spacing w:before="100" w:beforeAutospacing="1" w:after="100" w:afterAutospacing="1" w:line="240" w:lineRule="auto"/>
        <w:outlineLvl w:val="2"/>
        <w:rPr>
          <w:rFonts w:ascii="Times New Roman" w:hAnsi="Times New Roman"/>
          <w:b/>
          <w:bCs/>
          <w:sz w:val="28"/>
          <w:szCs w:val="28"/>
        </w:rPr>
      </w:pPr>
      <w:r w:rsidRPr="0085441F">
        <w:rPr>
          <w:rStyle w:val="CharChar1"/>
          <w:rFonts w:ascii="Times New Roman" w:hAnsi="Times New Roman" w:cs="Times New Roman"/>
          <w:b w:val="0"/>
          <w:noProof/>
          <w:color w:val="ED7D31"/>
          <w:sz w:val="20"/>
          <w:szCs w:val="20"/>
        </w:rPr>
        <w:drawing>
          <wp:inline distT="0" distB="0" distL="0" distR="0" wp14:anchorId="11275C3A" wp14:editId="2D1FFD15">
            <wp:extent cx="2857500" cy="666750"/>
            <wp:effectExtent l="0" t="0" r="0" b="0"/>
            <wp:docPr id="1" name="Picture 1" descr="HL_logo_wtag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_logo_wtag_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52CB78C0" w14:textId="7168A853" w:rsidR="009D0CB0" w:rsidRPr="00A87B50" w:rsidRDefault="009D0CB0" w:rsidP="00DE15D8">
      <w:pPr>
        <w:rPr>
          <w:rStyle w:val="Heading1Char"/>
          <w:rFonts w:ascii="Times New Roman" w:hAnsi="Times New Roman" w:cs="Times New Roman"/>
          <w:sz w:val="28"/>
          <w:szCs w:val="28"/>
        </w:rPr>
      </w:pPr>
      <w:r w:rsidRPr="00A87B50">
        <w:rPr>
          <w:rStyle w:val="Heading1Char"/>
          <w:rFonts w:ascii="Times New Roman" w:hAnsi="Times New Roman" w:cs="Times New Roman"/>
          <w:sz w:val="28"/>
          <w:szCs w:val="28"/>
        </w:rPr>
        <w:t>Order Form</w:t>
      </w:r>
      <w:r w:rsidR="00F27D17">
        <w:rPr>
          <w:rStyle w:val="Heading1Char"/>
          <w:rFonts w:ascii="Times New Roman" w:hAnsi="Times New Roman" w:cs="Times New Roman"/>
          <w:sz w:val="28"/>
          <w:szCs w:val="28"/>
        </w:rPr>
        <w:t xml:space="preserve"> – Managed Services</w:t>
      </w:r>
    </w:p>
    <w:p w14:paraId="5E795841" w14:textId="77777777" w:rsidR="00561D8D" w:rsidRPr="00543BF0" w:rsidRDefault="00561D8D" w:rsidP="00561D8D">
      <w:pPr>
        <w:spacing w:after="120"/>
        <w:jc w:val="both"/>
        <w:rPr>
          <w:rFonts w:ascii="Times New Roman" w:hAnsi="Times New Roman"/>
          <w:sz w:val="24"/>
          <w:szCs w:val="24"/>
        </w:rPr>
      </w:pPr>
      <w:r w:rsidRPr="002719AA">
        <w:rPr>
          <w:rFonts w:ascii="Times New Roman" w:hAnsi="Times New Roman"/>
          <w:sz w:val="20"/>
          <w:szCs w:val="20"/>
        </w:rPr>
        <w:t xml:space="preserve">This Addendum is entered by and between Higher Logic LLC, a Delaware limited liability corporation (“HIGHER LOGIC”), with principal offices at </w:t>
      </w:r>
      <w:r>
        <w:rPr>
          <w:rFonts w:ascii="Times New Roman" w:hAnsi="Times New Roman"/>
          <w:sz w:val="20"/>
          <w:szCs w:val="20"/>
        </w:rPr>
        <w:t>1919 Lynn Street, 5</w:t>
      </w:r>
      <w:r w:rsidRPr="008B5A3F">
        <w:rPr>
          <w:rFonts w:ascii="Times New Roman" w:hAnsi="Times New Roman"/>
          <w:sz w:val="20"/>
          <w:szCs w:val="20"/>
          <w:vertAlign w:val="superscript"/>
        </w:rPr>
        <w:t>th</w:t>
      </w:r>
      <w:r>
        <w:rPr>
          <w:rFonts w:ascii="Times New Roman" w:hAnsi="Times New Roman"/>
          <w:sz w:val="20"/>
          <w:szCs w:val="20"/>
        </w:rPr>
        <w:t xml:space="preserve"> Floor</w:t>
      </w:r>
      <w:r w:rsidRPr="002719AA">
        <w:rPr>
          <w:rFonts w:ascii="Times New Roman" w:hAnsi="Times New Roman"/>
          <w:sz w:val="20"/>
          <w:szCs w:val="20"/>
        </w:rPr>
        <w:t xml:space="preserve">, Arlington, VA  22209, </w:t>
      </w:r>
      <w:r w:rsidRPr="007D78A1">
        <w:rPr>
          <w:rFonts w:ascii="Times New Roman" w:hAnsi="Times New Roman"/>
          <w:sz w:val="20"/>
          <w:szCs w:val="20"/>
        </w:rPr>
        <w:t xml:space="preserve">and </w:t>
      </w:r>
      <w:r w:rsidRPr="007D78A1">
        <w:rPr>
          <w:rFonts w:ascii="Times New Roman" w:hAnsi="Times New Roman"/>
          <w:sz w:val="20"/>
          <w:szCs w:val="20"/>
          <w:highlight w:val="yellow"/>
        </w:rPr>
        <w:t>[Client Organization Name]</w:t>
      </w:r>
      <w:r w:rsidRPr="007D78A1">
        <w:rPr>
          <w:rFonts w:ascii="Times New Roman" w:hAnsi="Times New Roman"/>
          <w:sz w:val="20"/>
          <w:szCs w:val="20"/>
        </w:rPr>
        <w:t xml:space="preserve"> (“Subscriber”), with principal offices at </w:t>
      </w:r>
      <w:r w:rsidRPr="007D78A1">
        <w:rPr>
          <w:rFonts w:ascii="Times New Roman" w:hAnsi="Times New Roman"/>
          <w:sz w:val="20"/>
          <w:szCs w:val="20"/>
          <w:highlight w:val="yellow"/>
        </w:rPr>
        <w:t>[Client organization address].</w:t>
      </w:r>
      <w:r>
        <w:rPr>
          <w:rFonts w:ascii="Times New Roman" w:hAnsi="Times New Roman"/>
          <w:sz w:val="24"/>
          <w:szCs w:val="24"/>
        </w:rPr>
        <w:t xml:space="preserve">  </w:t>
      </w:r>
    </w:p>
    <w:p w14:paraId="17B519BF" w14:textId="669BD7D5" w:rsidR="00424E8F" w:rsidRPr="009C4AE2" w:rsidRDefault="00424E8F" w:rsidP="009C4AE2">
      <w:pPr>
        <w:spacing w:after="0"/>
        <w:rPr>
          <w:rFonts w:ascii="Times New Roman" w:hAnsi="Times New Roman"/>
          <w:sz w:val="20"/>
          <w:szCs w:val="20"/>
        </w:rPr>
      </w:pPr>
      <w:r w:rsidRPr="009C4AE2">
        <w:rPr>
          <w:rFonts w:ascii="Times New Roman" w:hAnsi="Times New Roman"/>
          <w:sz w:val="20"/>
          <w:szCs w:val="20"/>
        </w:rPr>
        <w:t xml:space="preserve">The following lists the services included in this order and are governed by the terms and conditions of our </w:t>
      </w:r>
      <w:hyperlink r:id="rId8" w:history="1">
        <w:r w:rsidRPr="009C4AE2">
          <w:rPr>
            <w:rStyle w:val="Hyperlink"/>
            <w:rFonts w:ascii="Times New Roman" w:hAnsi="Times New Roman"/>
            <w:sz w:val="20"/>
            <w:szCs w:val="20"/>
          </w:rPr>
          <w:t>Professional Services Agreement</w:t>
        </w:r>
      </w:hyperlink>
      <w:r w:rsidRPr="009C4AE2">
        <w:rPr>
          <w:rFonts w:ascii="Times New Roman" w:hAnsi="Times New Roman"/>
          <w:sz w:val="20"/>
          <w:szCs w:val="20"/>
        </w:rPr>
        <w:t>.</w:t>
      </w:r>
      <w:r w:rsidR="00053277" w:rsidRPr="009C4AE2">
        <w:rPr>
          <w:rFonts w:ascii="Times New Roman" w:hAnsi="Times New Roman"/>
          <w:sz w:val="20"/>
          <w:szCs w:val="20"/>
        </w:rPr>
        <w:t xml:space="preserve"> Initial Term: 12 months</w:t>
      </w:r>
      <w:r w:rsidR="00136927">
        <w:rPr>
          <w:rFonts w:ascii="Times New Roman" w:hAnsi="Times New Roman"/>
          <w:sz w:val="20"/>
          <w:szCs w:val="20"/>
        </w:rPr>
        <w:t xml:space="preserve"> starting at agreement signature. </w:t>
      </w:r>
      <w:r w:rsidR="00136927" w:rsidRPr="00136927">
        <w:rPr>
          <w:rFonts w:ascii="Times New Roman" w:hAnsi="Times New Roman"/>
          <w:b/>
          <w:i/>
          <w:sz w:val="20"/>
          <w:szCs w:val="20"/>
          <w:highlight w:val="yellow"/>
        </w:rPr>
        <w:t>(If implementation is delayed, replace “agreement signature” with start date)</w:t>
      </w:r>
      <w:r w:rsidR="00136927" w:rsidRPr="00136927">
        <w:rPr>
          <w:rFonts w:ascii="Times New Roman" w:hAnsi="Times New Roman"/>
          <w:b/>
          <w:i/>
          <w:sz w:val="20"/>
          <w:szCs w:val="20"/>
        </w:rPr>
        <w:t>.</w:t>
      </w:r>
    </w:p>
    <w:p w14:paraId="36CC8BAA" w14:textId="77777777" w:rsidR="009C4AE2" w:rsidRPr="009C4AE2" w:rsidRDefault="009C4AE2" w:rsidP="009C4AE2">
      <w:pPr>
        <w:spacing w:after="0"/>
        <w:rPr>
          <w:rFonts w:ascii="Times New Roman" w:hAnsi="Times New Roman"/>
          <w:sz w:val="18"/>
          <w:szCs w:val="18"/>
        </w:rPr>
      </w:pPr>
    </w:p>
    <w:tbl>
      <w:tblPr>
        <w:tblW w:w="9360" w:type="dxa"/>
        <w:tblInd w:w="-72" w:type="dxa"/>
        <w:tblLook w:val="0000" w:firstRow="0" w:lastRow="0" w:firstColumn="0" w:lastColumn="0" w:noHBand="0" w:noVBand="0"/>
      </w:tblPr>
      <w:tblGrid>
        <w:gridCol w:w="9360"/>
      </w:tblGrid>
      <w:tr w:rsidR="009219FE" w:rsidRPr="00B46D51" w14:paraId="50D8F90B" w14:textId="77777777" w:rsidTr="00BB2F3F">
        <w:trPr>
          <w:trHeight w:val="160"/>
        </w:trPr>
        <w:tc>
          <w:tcPr>
            <w:tcW w:w="9360" w:type="dxa"/>
            <w:tcBorders>
              <w:top w:val="single" w:sz="8" w:space="0" w:color="auto"/>
              <w:left w:val="single" w:sz="8" w:space="0" w:color="auto"/>
              <w:bottom w:val="single" w:sz="8" w:space="0" w:color="auto"/>
              <w:right w:val="single" w:sz="8" w:space="0" w:color="auto"/>
            </w:tcBorders>
          </w:tcPr>
          <w:p w14:paraId="6946813D" w14:textId="7458528A" w:rsidR="009219FE" w:rsidRPr="00DE786B" w:rsidRDefault="005A506B" w:rsidP="003C5821">
            <w:pPr>
              <w:jc w:val="center"/>
              <w:rPr>
                <w:rFonts w:ascii="Times New Roman" w:hAnsi="Times New Roman"/>
                <w:sz w:val="20"/>
                <w:szCs w:val="20"/>
              </w:rPr>
            </w:pPr>
            <w:r>
              <w:rPr>
                <w:rFonts w:ascii="Times New Roman" w:hAnsi="Times New Roman"/>
                <w:b/>
                <w:sz w:val="20"/>
                <w:szCs w:val="20"/>
              </w:rPr>
              <w:t>Community Management</w:t>
            </w:r>
            <w:r w:rsidRPr="00D84163">
              <w:rPr>
                <w:rFonts w:ascii="Times New Roman" w:hAnsi="Times New Roman"/>
                <w:b/>
                <w:sz w:val="20"/>
                <w:szCs w:val="20"/>
              </w:rPr>
              <w:t xml:space="preserve"> </w:t>
            </w:r>
            <w:r w:rsidR="009219FE" w:rsidRPr="00D84163">
              <w:rPr>
                <w:rFonts w:ascii="Times New Roman" w:hAnsi="Times New Roman"/>
                <w:b/>
                <w:bCs/>
                <w:sz w:val="20"/>
                <w:szCs w:val="20"/>
              </w:rPr>
              <w:t>Service Fees</w:t>
            </w:r>
          </w:p>
        </w:tc>
      </w:tr>
      <w:tr w:rsidR="009219FE" w:rsidRPr="00B46D51" w14:paraId="7DF92154" w14:textId="77777777" w:rsidTr="00BB2F3F">
        <w:trPr>
          <w:trHeight w:val="255"/>
        </w:trPr>
        <w:tc>
          <w:tcPr>
            <w:tcW w:w="9360" w:type="dxa"/>
            <w:tcBorders>
              <w:top w:val="single" w:sz="8" w:space="0" w:color="auto"/>
              <w:left w:val="single" w:sz="8" w:space="0" w:color="auto"/>
              <w:bottom w:val="single" w:sz="8" w:space="0" w:color="auto"/>
              <w:right w:val="single" w:sz="8" w:space="0" w:color="auto"/>
            </w:tcBorders>
          </w:tcPr>
          <w:p w14:paraId="3BE75B6A" w14:textId="77777777" w:rsidR="00871A81" w:rsidRDefault="005A506B" w:rsidP="005A506B">
            <w:pPr>
              <w:pStyle w:val="MediumGrid1-Accent21"/>
              <w:spacing w:before="60" w:after="60" w:line="288" w:lineRule="auto"/>
              <w:ind w:left="0"/>
              <w:contextualSpacing w:val="0"/>
              <w:rPr>
                <w:rFonts w:ascii="Times New Roman" w:hAnsi="Times New Roman"/>
                <w:b/>
                <w:sz w:val="20"/>
                <w:szCs w:val="20"/>
              </w:rPr>
            </w:pPr>
            <w:r w:rsidRPr="009C1005">
              <w:rPr>
                <w:rFonts w:ascii="Times New Roman" w:hAnsi="Times New Roman"/>
                <w:b/>
                <w:sz w:val="20"/>
                <w:szCs w:val="20"/>
              </w:rPr>
              <w:t xml:space="preserve">Community Management Service: </w:t>
            </w:r>
            <w:r>
              <w:rPr>
                <w:rFonts w:ascii="Times New Roman" w:hAnsi="Times New Roman"/>
                <w:b/>
                <w:sz w:val="20"/>
                <w:szCs w:val="20"/>
              </w:rPr>
              <w:t xml:space="preserve">Platinum Strategic </w:t>
            </w:r>
            <w:r w:rsidRPr="00D84163">
              <w:rPr>
                <w:rFonts w:ascii="Times New Roman" w:hAnsi="Times New Roman"/>
                <w:b/>
                <w:sz w:val="20"/>
                <w:szCs w:val="20"/>
              </w:rPr>
              <w:t>Service</w:t>
            </w:r>
          </w:p>
          <w:p w14:paraId="578FFBCE" w14:textId="35AAD829" w:rsidR="005A506B" w:rsidRPr="00871A81" w:rsidRDefault="00871A81" w:rsidP="005A506B">
            <w:pPr>
              <w:pStyle w:val="MediumGrid1-Accent21"/>
              <w:spacing w:before="60" w:after="60" w:line="288" w:lineRule="auto"/>
              <w:ind w:left="0"/>
              <w:contextualSpacing w:val="0"/>
              <w:rPr>
                <w:rFonts w:ascii="Times New Roman" w:hAnsi="Times New Roman"/>
                <w:i/>
                <w:color w:val="404040"/>
                <w:sz w:val="20"/>
                <w:szCs w:val="20"/>
              </w:rPr>
            </w:pPr>
            <w:r w:rsidRPr="00871A81">
              <w:rPr>
                <w:rFonts w:ascii="Times New Roman" w:hAnsi="Times New Roman"/>
                <w:i/>
                <w:sz w:val="20"/>
                <w:szCs w:val="20"/>
              </w:rPr>
              <w:t xml:space="preserve">The Higher Logic community manager’s planning and execution will be focused on the online space that will have the highest impact for the greatest number of users, typically the open forum or all-member community, or otherwise agreed-upon primary community. </w:t>
            </w:r>
            <w:r w:rsidR="005A506B" w:rsidRPr="00871A81">
              <w:rPr>
                <w:rFonts w:ascii="Times New Roman" w:hAnsi="Times New Roman"/>
                <w:i/>
                <w:color w:val="404040"/>
                <w:sz w:val="20"/>
                <w:szCs w:val="20"/>
              </w:rPr>
              <w:t xml:space="preserve"> </w:t>
            </w:r>
          </w:p>
          <w:p w14:paraId="0B135E09" w14:textId="2EA052A9" w:rsidR="00ED0958" w:rsidRPr="00D84163" w:rsidRDefault="00B46D51" w:rsidP="005A506B">
            <w:pPr>
              <w:pStyle w:val="MediumGrid1-Accent21"/>
              <w:spacing w:after="120" w:line="288" w:lineRule="auto"/>
              <w:ind w:left="0"/>
              <w:contextualSpacing w:val="0"/>
              <w:rPr>
                <w:rFonts w:ascii="Times New Roman" w:hAnsi="Times New Roman"/>
                <w:b/>
                <w:i/>
                <w:color w:val="404040"/>
                <w:sz w:val="20"/>
                <w:szCs w:val="20"/>
              </w:rPr>
            </w:pPr>
            <w:r w:rsidRPr="00D84163">
              <w:rPr>
                <w:rFonts w:ascii="Times New Roman" w:hAnsi="Times New Roman"/>
                <w:b/>
                <w:i/>
                <w:color w:val="404040"/>
                <w:sz w:val="20"/>
                <w:szCs w:val="20"/>
              </w:rPr>
              <w:t>Scope of Services:</w:t>
            </w:r>
          </w:p>
          <w:p w14:paraId="343FB987" w14:textId="51057468" w:rsidR="007A617F" w:rsidRPr="007A617F" w:rsidRDefault="00575C27" w:rsidP="007B376A">
            <w:pPr>
              <w:pStyle w:val="MediumGrid1-Accent21"/>
              <w:numPr>
                <w:ilvl w:val="0"/>
                <w:numId w:val="20"/>
              </w:numPr>
              <w:spacing w:before="60" w:line="288" w:lineRule="auto"/>
              <w:ind w:left="720"/>
              <w:rPr>
                <w:b/>
                <w:color w:val="404040"/>
                <w:sz w:val="20"/>
                <w:szCs w:val="20"/>
              </w:rPr>
            </w:pPr>
            <w:r>
              <w:rPr>
                <w:rFonts w:ascii="Times New Roman" w:hAnsi="Times New Roman"/>
                <w:b/>
                <w:color w:val="404040"/>
                <w:sz w:val="20"/>
                <w:szCs w:val="20"/>
              </w:rPr>
              <w:t>Cross-departmental Representation</w:t>
            </w:r>
            <w:r w:rsidR="003A4A20">
              <w:rPr>
                <w:rFonts w:ascii="Times New Roman" w:hAnsi="Times New Roman"/>
                <w:b/>
                <w:color w:val="404040"/>
                <w:sz w:val="20"/>
                <w:szCs w:val="20"/>
              </w:rPr>
              <w:t>:</w:t>
            </w:r>
            <w:r w:rsidR="007A617F">
              <w:rPr>
                <w:rFonts w:ascii="Times New Roman" w:hAnsi="Times New Roman"/>
                <w:b/>
                <w:color w:val="404040"/>
                <w:sz w:val="20"/>
                <w:szCs w:val="20"/>
              </w:rPr>
              <w:t xml:space="preserve"> </w:t>
            </w:r>
            <w:r w:rsidR="007A617F" w:rsidRPr="007A617F">
              <w:rPr>
                <w:rFonts w:ascii="Times New Roman" w:hAnsi="Times New Roman"/>
                <w:color w:val="404040"/>
                <w:sz w:val="20"/>
                <w:szCs w:val="20"/>
              </w:rPr>
              <w:t xml:space="preserve">Serve as the internal cross-departmental liaison, </w:t>
            </w:r>
            <w:r w:rsidRPr="00575C27">
              <w:rPr>
                <w:rFonts w:ascii="Times New Roman" w:hAnsi="Times New Roman"/>
                <w:bCs/>
                <w:color w:val="404040"/>
                <w:sz w:val="20"/>
                <w:szCs w:val="20"/>
              </w:rPr>
              <w:t>represent</w:t>
            </w:r>
            <w:r>
              <w:rPr>
                <w:rFonts w:ascii="Times New Roman" w:hAnsi="Times New Roman"/>
                <w:bCs/>
                <w:color w:val="404040"/>
                <w:sz w:val="20"/>
                <w:szCs w:val="20"/>
              </w:rPr>
              <w:t>ing</w:t>
            </w:r>
            <w:r w:rsidRPr="00575C27">
              <w:rPr>
                <w:rFonts w:ascii="Times New Roman" w:hAnsi="Times New Roman"/>
                <w:bCs/>
                <w:color w:val="404040"/>
                <w:sz w:val="20"/>
                <w:szCs w:val="20"/>
              </w:rPr>
              <w:t xml:space="preserve"> your interests, </w:t>
            </w:r>
            <w:r w:rsidR="00871A81" w:rsidRPr="00871A81">
              <w:rPr>
                <w:rFonts w:ascii="Times New Roman" w:hAnsi="Times New Roman"/>
                <w:bCs/>
                <w:color w:val="404040"/>
                <w:sz w:val="20"/>
                <w:szCs w:val="20"/>
              </w:rPr>
              <w:t>contributing to your customer success plan and offering strategic-level guidance and progress tracking, whether you’re implementing a new community or starting a re-engagement project.</w:t>
            </w:r>
          </w:p>
          <w:p w14:paraId="6F772660" w14:textId="0F4D9EFA" w:rsidR="003A4A20" w:rsidRPr="007A617F" w:rsidRDefault="007A617F" w:rsidP="007A617F">
            <w:pPr>
              <w:pStyle w:val="MediumGrid1-Accent21"/>
              <w:numPr>
                <w:ilvl w:val="0"/>
                <w:numId w:val="20"/>
              </w:numPr>
              <w:spacing w:before="60" w:line="288" w:lineRule="auto"/>
              <w:ind w:left="720"/>
              <w:rPr>
                <w:rFonts w:ascii="Times New Roman" w:hAnsi="Times New Roman"/>
                <w:b/>
                <w:color w:val="404040"/>
                <w:sz w:val="20"/>
                <w:szCs w:val="20"/>
              </w:rPr>
            </w:pPr>
            <w:r w:rsidRPr="007A617F">
              <w:rPr>
                <w:rFonts w:ascii="Times New Roman" w:hAnsi="Times New Roman"/>
                <w:b/>
                <w:bCs/>
                <w:color w:val="404040"/>
                <w:sz w:val="20"/>
                <w:szCs w:val="20"/>
              </w:rPr>
              <w:t xml:space="preserve">Community </w:t>
            </w:r>
            <w:r w:rsidR="00B2585B">
              <w:rPr>
                <w:rFonts w:ascii="Times New Roman" w:hAnsi="Times New Roman"/>
                <w:b/>
                <w:bCs/>
                <w:color w:val="404040"/>
                <w:sz w:val="20"/>
                <w:szCs w:val="20"/>
              </w:rPr>
              <w:t>D</w:t>
            </w:r>
            <w:r w:rsidRPr="007A617F">
              <w:rPr>
                <w:rFonts w:ascii="Times New Roman" w:hAnsi="Times New Roman"/>
                <w:b/>
                <w:bCs/>
                <w:color w:val="404040"/>
                <w:sz w:val="20"/>
                <w:szCs w:val="20"/>
              </w:rPr>
              <w:t xml:space="preserve">iscovery </w:t>
            </w:r>
            <w:r w:rsidR="00B2585B">
              <w:rPr>
                <w:rFonts w:ascii="Times New Roman" w:hAnsi="Times New Roman"/>
                <w:b/>
                <w:bCs/>
                <w:color w:val="404040"/>
                <w:sz w:val="20"/>
                <w:szCs w:val="20"/>
              </w:rPr>
              <w:t>C</w:t>
            </w:r>
            <w:r w:rsidRPr="007A617F">
              <w:rPr>
                <w:rFonts w:ascii="Times New Roman" w:hAnsi="Times New Roman"/>
                <w:b/>
                <w:bCs/>
                <w:color w:val="404040"/>
                <w:sz w:val="20"/>
                <w:szCs w:val="20"/>
              </w:rPr>
              <w:t xml:space="preserve">all and </w:t>
            </w:r>
            <w:r w:rsidR="00B2585B">
              <w:rPr>
                <w:rFonts w:ascii="Times New Roman" w:hAnsi="Times New Roman"/>
                <w:b/>
                <w:bCs/>
                <w:color w:val="404040"/>
                <w:sz w:val="20"/>
                <w:szCs w:val="20"/>
              </w:rPr>
              <w:t>A</w:t>
            </w:r>
            <w:r w:rsidRPr="007A617F">
              <w:rPr>
                <w:rFonts w:ascii="Times New Roman" w:hAnsi="Times New Roman"/>
                <w:b/>
                <w:bCs/>
                <w:color w:val="404040"/>
                <w:sz w:val="20"/>
                <w:szCs w:val="20"/>
              </w:rPr>
              <w:t>udit</w:t>
            </w:r>
            <w:r>
              <w:rPr>
                <w:rFonts w:ascii="Times New Roman" w:hAnsi="Times New Roman"/>
                <w:b/>
                <w:bCs/>
                <w:color w:val="404040"/>
                <w:sz w:val="20"/>
                <w:szCs w:val="20"/>
              </w:rPr>
              <w:t>:</w:t>
            </w:r>
            <w:r w:rsidRPr="007A617F">
              <w:rPr>
                <w:rFonts w:ascii="Times New Roman" w:hAnsi="Times New Roman"/>
                <w:bCs/>
                <w:color w:val="404040"/>
                <w:sz w:val="20"/>
                <w:szCs w:val="20"/>
              </w:rPr>
              <w:t xml:space="preserve"> Conduct a 60-minute call to gather background information</w:t>
            </w:r>
            <w:r w:rsidR="00575C27">
              <w:rPr>
                <w:rFonts w:ascii="Times New Roman" w:hAnsi="Times New Roman"/>
                <w:bCs/>
                <w:color w:val="404040"/>
                <w:sz w:val="20"/>
                <w:szCs w:val="20"/>
              </w:rPr>
              <w:t xml:space="preserve"> and establish scope of work</w:t>
            </w:r>
            <w:r w:rsidRPr="007A617F">
              <w:rPr>
                <w:rFonts w:ascii="Times New Roman" w:hAnsi="Times New Roman"/>
                <w:bCs/>
                <w:color w:val="404040"/>
                <w:sz w:val="20"/>
                <w:szCs w:val="20"/>
              </w:rPr>
              <w:t xml:space="preserve">. </w:t>
            </w:r>
            <w:r w:rsidR="00104721">
              <w:rPr>
                <w:rFonts w:ascii="Times New Roman" w:hAnsi="Times New Roman"/>
                <w:bCs/>
                <w:color w:val="404040"/>
                <w:sz w:val="20"/>
                <w:szCs w:val="20"/>
              </w:rPr>
              <w:t>Perform</w:t>
            </w:r>
            <w:r w:rsidRPr="007A617F">
              <w:rPr>
                <w:rFonts w:ascii="Times New Roman" w:hAnsi="Times New Roman"/>
                <w:bCs/>
                <w:color w:val="404040"/>
                <w:sz w:val="20"/>
                <w:szCs w:val="20"/>
              </w:rPr>
              <w:t xml:space="preserve"> audit of existing community</w:t>
            </w:r>
            <w:r w:rsidR="000F0B26">
              <w:rPr>
                <w:rFonts w:ascii="Times New Roman" w:hAnsi="Times New Roman"/>
                <w:bCs/>
                <w:color w:val="404040"/>
                <w:sz w:val="20"/>
                <w:szCs w:val="20"/>
              </w:rPr>
              <w:t xml:space="preserve"> (</w:t>
            </w:r>
            <w:r w:rsidR="00104721">
              <w:rPr>
                <w:rFonts w:ascii="Times New Roman" w:hAnsi="Times New Roman"/>
                <w:bCs/>
                <w:color w:val="404040"/>
                <w:sz w:val="20"/>
                <w:szCs w:val="20"/>
              </w:rPr>
              <w:t>if applicable</w:t>
            </w:r>
            <w:r w:rsidR="000F0B26">
              <w:rPr>
                <w:rFonts w:ascii="Times New Roman" w:hAnsi="Times New Roman"/>
                <w:bCs/>
                <w:color w:val="404040"/>
                <w:sz w:val="20"/>
                <w:szCs w:val="20"/>
              </w:rPr>
              <w:t>)</w:t>
            </w:r>
            <w:r w:rsidR="00104721">
              <w:rPr>
                <w:rFonts w:ascii="Times New Roman" w:hAnsi="Times New Roman"/>
                <w:bCs/>
                <w:color w:val="404040"/>
                <w:sz w:val="20"/>
                <w:szCs w:val="20"/>
              </w:rPr>
              <w:t xml:space="preserve"> and current initiatives, systems and processes for engaging users</w:t>
            </w:r>
            <w:r w:rsidRPr="007A617F">
              <w:rPr>
                <w:rFonts w:ascii="Times New Roman" w:hAnsi="Times New Roman"/>
                <w:bCs/>
                <w:color w:val="404040"/>
                <w:sz w:val="20"/>
                <w:szCs w:val="20"/>
              </w:rPr>
              <w:t xml:space="preserve">. </w:t>
            </w:r>
          </w:p>
          <w:p w14:paraId="010B23EA" w14:textId="5CA9CA88" w:rsidR="00F27591" w:rsidRPr="00B46D51" w:rsidRDefault="00104721" w:rsidP="007B376A">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Pr>
                <w:rFonts w:ascii="Times New Roman" w:hAnsi="Times New Roman"/>
                <w:b/>
                <w:color w:val="404040"/>
                <w:sz w:val="20"/>
                <w:szCs w:val="20"/>
              </w:rPr>
              <w:t xml:space="preserve">Annual </w:t>
            </w:r>
            <w:r w:rsidR="007A617F">
              <w:rPr>
                <w:rFonts w:ascii="Times New Roman" w:hAnsi="Times New Roman"/>
                <w:b/>
                <w:color w:val="404040"/>
                <w:sz w:val="20"/>
                <w:szCs w:val="20"/>
              </w:rPr>
              <w:t>Strategic Planning Meeting</w:t>
            </w:r>
            <w:r w:rsidR="00F27591" w:rsidRPr="00CC6BAC">
              <w:rPr>
                <w:rFonts w:ascii="Times New Roman" w:hAnsi="Times New Roman"/>
                <w:b/>
                <w:color w:val="404040"/>
                <w:sz w:val="20"/>
                <w:szCs w:val="20"/>
              </w:rPr>
              <w:t>:</w:t>
            </w:r>
            <w:r w:rsidR="00F27591" w:rsidRPr="00B46D51">
              <w:rPr>
                <w:rFonts w:ascii="Times New Roman" w:hAnsi="Times New Roman"/>
                <w:color w:val="404040"/>
                <w:sz w:val="20"/>
                <w:szCs w:val="20"/>
              </w:rPr>
              <w:t xml:space="preserve"> </w:t>
            </w:r>
            <w:r w:rsidR="00964AE4">
              <w:rPr>
                <w:rFonts w:ascii="Times New Roman" w:hAnsi="Times New Roman"/>
                <w:color w:val="404040"/>
                <w:sz w:val="20"/>
                <w:szCs w:val="20"/>
              </w:rPr>
              <w:t>R</w:t>
            </w:r>
            <w:r>
              <w:rPr>
                <w:rFonts w:ascii="Times New Roman" w:hAnsi="Times New Roman"/>
                <w:color w:val="404040"/>
                <w:sz w:val="20"/>
                <w:szCs w:val="20"/>
              </w:rPr>
              <w:t>eview</w:t>
            </w:r>
            <w:r w:rsidR="00F27591" w:rsidRPr="00B46D51">
              <w:rPr>
                <w:rFonts w:ascii="Times New Roman" w:hAnsi="Times New Roman"/>
                <w:color w:val="404040"/>
                <w:sz w:val="20"/>
                <w:szCs w:val="20"/>
              </w:rPr>
              <w:t xml:space="preserve"> </w:t>
            </w:r>
            <w:r>
              <w:rPr>
                <w:rFonts w:ascii="Times New Roman" w:hAnsi="Times New Roman"/>
                <w:color w:val="404040"/>
                <w:sz w:val="20"/>
                <w:szCs w:val="20"/>
              </w:rPr>
              <w:t xml:space="preserve">your goals </w:t>
            </w:r>
            <w:r w:rsidR="00F27591" w:rsidRPr="00B46D51">
              <w:rPr>
                <w:rFonts w:ascii="Times New Roman" w:hAnsi="Times New Roman"/>
                <w:color w:val="404040"/>
                <w:sz w:val="20"/>
                <w:szCs w:val="20"/>
              </w:rPr>
              <w:t xml:space="preserve">and directives. </w:t>
            </w:r>
            <w:r w:rsidR="003B2EAC">
              <w:rPr>
                <w:rFonts w:ascii="Times New Roman" w:hAnsi="Times New Roman"/>
                <w:color w:val="404040"/>
                <w:sz w:val="20"/>
                <w:szCs w:val="20"/>
              </w:rPr>
              <w:t>D</w:t>
            </w:r>
            <w:r w:rsidRPr="00104721">
              <w:rPr>
                <w:rFonts w:ascii="Times New Roman" w:hAnsi="Times New Roman"/>
                <w:color w:val="404040"/>
                <w:sz w:val="20"/>
                <w:szCs w:val="20"/>
              </w:rPr>
              <w:t>etermi</w:t>
            </w:r>
            <w:r>
              <w:rPr>
                <w:rFonts w:ascii="Times New Roman" w:hAnsi="Times New Roman"/>
                <w:color w:val="404040"/>
                <w:sz w:val="20"/>
                <w:szCs w:val="20"/>
              </w:rPr>
              <w:t>ne t</w:t>
            </w:r>
            <w:r w:rsidRPr="00104721">
              <w:rPr>
                <w:rFonts w:ascii="Times New Roman" w:hAnsi="Times New Roman"/>
                <w:color w:val="404040"/>
                <w:sz w:val="20"/>
                <w:szCs w:val="20"/>
              </w:rPr>
              <w:t>he highest impact areas to focus on when developing the community strategy.</w:t>
            </w:r>
            <w:r>
              <w:rPr>
                <w:rFonts w:ascii="Times New Roman" w:hAnsi="Times New Roman"/>
                <w:color w:val="404040"/>
                <w:sz w:val="20"/>
                <w:szCs w:val="20"/>
              </w:rPr>
              <w:t xml:space="preserve"> </w:t>
            </w:r>
            <w:r w:rsidR="00F27591" w:rsidRPr="00B46D51">
              <w:rPr>
                <w:rFonts w:ascii="Times New Roman" w:hAnsi="Times New Roman"/>
                <w:color w:val="404040"/>
                <w:sz w:val="20"/>
                <w:szCs w:val="20"/>
              </w:rPr>
              <w:t xml:space="preserve">Develop </w:t>
            </w:r>
            <w:r>
              <w:rPr>
                <w:rFonts w:ascii="Times New Roman" w:hAnsi="Times New Roman"/>
                <w:color w:val="404040"/>
                <w:sz w:val="20"/>
                <w:szCs w:val="20"/>
              </w:rPr>
              <w:t xml:space="preserve">draft </w:t>
            </w:r>
            <w:r w:rsidR="00F27591" w:rsidRPr="00B46D51">
              <w:rPr>
                <w:rFonts w:ascii="Times New Roman" w:hAnsi="Times New Roman"/>
                <w:color w:val="404040"/>
                <w:sz w:val="20"/>
                <w:szCs w:val="20"/>
              </w:rPr>
              <w:t xml:space="preserve">strategic plan to map </w:t>
            </w:r>
            <w:r w:rsidR="00964AE4">
              <w:rPr>
                <w:rFonts w:ascii="Times New Roman" w:hAnsi="Times New Roman"/>
                <w:color w:val="404040"/>
                <w:sz w:val="20"/>
                <w:szCs w:val="20"/>
              </w:rPr>
              <w:t>your</w:t>
            </w:r>
            <w:r w:rsidR="00F27591" w:rsidRPr="00B46D51">
              <w:rPr>
                <w:rFonts w:ascii="Times New Roman" w:hAnsi="Times New Roman"/>
                <w:color w:val="404040"/>
                <w:sz w:val="20"/>
                <w:szCs w:val="20"/>
              </w:rPr>
              <w:t xml:space="preserve"> goals to appropriate community initiatives</w:t>
            </w:r>
            <w:r>
              <w:rPr>
                <w:rFonts w:ascii="Times New Roman" w:hAnsi="Times New Roman"/>
                <w:color w:val="404040"/>
                <w:sz w:val="20"/>
                <w:szCs w:val="20"/>
              </w:rPr>
              <w:t xml:space="preserve"> to achieve desired outcomes</w:t>
            </w:r>
            <w:r w:rsidR="00F27591" w:rsidRPr="00B46D51">
              <w:rPr>
                <w:rFonts w:ascii="Times New Roman" w:hAnsi="Times New Roman"/>
                <w:color w:val="404040"/>
                <w:sz w:val="20"/>
                <w:szCs w:val="20"/>
              </w:rPr>
              <w:t>. (</w:t>
            </w:r>
            <w:r w:rsidR="00F27591" w:rsidRPr="003B2EAC">
              <w:rPr>
                <w:rFonts w:ascii="Times New Roman" w:hAnsi="Times New Roman"/>
                <w:i/>
                <w:color w:val="404040"/>
                <w:sz w:val="20"/>
                <w:szCs w:val="20"/>
              </w:rPr>
              <w:t>Initial</w:t>
            </w:r>
            <w:r w:rsidR="00AA2EC7" w:rsidRPr="003B2EAC">
              <w:rPr>
                <w:rFonts w:ascii="Times New Roman" w:hAnsi="Times New Roman"/>
                <w:i/>
                <w:color w:val="404040"/>
                <w:sz w:val="20"/>
                <w:szCs w:val="20"/>
              </w:rPr>
              <w:t>, in-person</w:t>
            </w:r>
            <w:r w:rsidR="00AA2EC7" w:rsidRPr="003B2EAC">
              <w:rPr>
                <w:rFonts w:ascii="Times New Roman" w:hAnsi="Times New Roman"/>
                <w:i/>
                <w:color w:val="404040"/>
                <w:sz w:val="20"/>
                <w:szCs w:val="20"/>
                <w:vertAlign w:val="superscript"/>
              </w:rPr>
              <w:t xml:space="preserve">1 </w:t>
            </w:r>
            <w:r w:rsidR="00F27591" w:rsidRPr="003B2EAC">
              <w:rPr>
                <w:rFonts w:ascii="Times New Roman" w:hAnsi="Times New Roman"/>
                <w:i/>
                <w:color w:val="404040"/>
                <w:sz w:val="20"/>
                <w:szCs w:val="20"/>
              </w:rPr>
              <w:t xml:space="preserve">meeting is </w:t>
            </w:r>
            <w:r w:rsidR="00AA2EC7" w:rsidRPr="003B2EAC">
              <w:rPr>
                <w:rFonts w:ascii="Times New Roman" w:hAnsi="Times New Roman"/>
                <w:i/>
                <w:color w:val="404040"/>
                <w:sz w:val="20"/>
                <w:szCs w:val="20"/>
              </w:rPr>
              <w:t>a required step in the pre-launch process</w:t>
            </w:r>
            <w:r w:rsidR="00AA2EC7">
              <w:rPr>
                <w:rFonts w:ascii="Times New Roman" w:hAnsi="Times New Roman"/>
                <w:color w:val="404040"/>
                <w:sz w:val="20"/>
                <w:szCs w:val="20"/>
              </w:rPr>
              <w:t>;</w:t>
            </w:r>
            <w:r w:rsidR="00F27591" w:rsidRPr="00B46D51">
              <w:rPr>
                <w:rFonts w:ascii="Times New Roman" w:hAnsi="Times New Roman"/>
                <w:color w:val="404040"/>
                <w:sz w:val="20"/>
                <w:szCs w:val="20"/>
              </w:rPr>
              <w:t xml:space="preserve"> subsequent </w:t>
            </w:r>
            <w:r w:rsidR="00681B43">
              <w:rPr>
                <w:rFonts w:ascii="Times New Roman" w:hAnsi="Times New Roman"/>
                <w:color w:val="404040"/>
                <w:sz w:val="20"/>
                <w:szCs w:val="20"/>
              </w:rPr>
              <w:t xml:space="preserve">strategy planning </w:t>
            </w:r>
            <w:r w:rsidR="00F27591" w:rsidRPr="00B46D51">
              <w:rPr>
                <w:rFonts w:ascii="Times New Roman" w:hAnsi="Times New Roman"/>
                <w:color w:val="404040"/>
                <w:sz w:val="20"/>
                <w:szCs w:val="20"/>
              </w:rPr>
              <w:t>meetings can be held in</w:t>
            </w:r>
            <w:r w:rsidR="00AA2EC7">
              <w:rPr>
                <w:rFonts w:ascii="Times New Roman" w:hAnsi="Times New Roman"/>
                <w:color w:val="404040"/>
                <w:sz w:val="20"/>
                <w:szCs w:val="20"/>
              </w:rPr>
              <w:t xml:space="preserve"> </w:t>
            </w:r>
            <w:r w:rsidR="00F27591" w:rsidRPr="00B46D51">
              <w:rPr>
                <w:rFonts w:ascii="Times New Roman" w:hAnsi="Times New Roman"/>
                <w:color w:val="404040"/>
                <w:sz w:val="20"/>
                <w:szCs w:val="20"/>
              </w:rPr>
              <w:t>person or via web or teleconference.)</w:t>
            </w:r>
          </w:p>
          <w:p w14:paraId="6D96831E" w14:textId="7FCE3B1A" w:rsidR="00104721" w:rsidRPr="00104721" w:rsidRDefault="00104721" w:rsidP="00CC6BAC">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Pr>
                <w:rFonts w:ascii="Times New Roman" w:hAnsi="Times New Roman"/>
                <w:b/>
                <w:color w:val="404040"/>
                <w:sz w:val="20"/>
                <w:szCs w:val="20"/>
              </w:rPr>
              <w:t xml:space="preserve">Strategic Plan and Project Management: </w:t>
            </w:r>
            <w:r w:rsidR="00871A81" w:rsidRPr="00871A81">
              <w:rPr>
                <w:rFonts w:ascii="Times New Roman" w:hAnsi="Times New Roman"/>
                <w:color w:val="404040"/>
                <w:sz w:val="20"/>
                <w:szCs w:val="20"/>
              </w:rPr>
              <w:t>The community manager will</w:t>
            </w:r>
            <w:r w:rsidR="00871A81" w:rsidRPr="00871A81">
              <w:rPr>
                <w:rFonts w:ascii="Times New Roman" w:hAnsi="Times New Roman"/>
                <w:b/>
                <w:color w:val="404040"/>
                <w:sz w:val="20"/>
                <w:szCs w:val="20"/>
              </w:rPr>
              <w:t xml:space="preserve"> </w:t>
            </w:r>
            <w:r w:rsidR="00871A81" w:rsidRPr="00871A81">
              <w:rPr>
                <w:rFonts w:ascii="Times New Roman" w:hAnsi="Times New Roman"/>
                <w:color w:val="404040"/>
                <w:sz w:val="20"/>
                <w:szCs w:val="20"/>
              </w:rPr>
              <w:t>synthesize the findings from your workshop and finalize your strategic plan including goals, desired outcomes, tactics and recommended KPIs to encourage user engagement and achieve your business goals. We’ll contribute to your implementation project plan with a record of deliverables aligned to the strategic plan to drive execution and team accountability.</w:t>
            </w:r>
          </w:p>
          <w:p w14:paraId="4E6C31F0" w14:textId="7DF38970" w:rsidR="003B2EAC" w:rsidRPr="003B2EAC" w:rsidRDefault="003B2EAC" w:rsidP="007B376A">
            <w:pPr>
              <w:pStyle w:val="MediumGrid1-Accent21"/>
              <w:numPr>
                <w:ilvl w:val="0"/>
                <w:numId w:val="20"/>
              </w:numPr>
              <w:spacing w:before="60" w:line="288" w:lineRule="auto"/>
              <w:ind w:left="720"/>
              <w:rPr>
                <w:rFonts w:ascii="Times New Roman" w:hAnsi="Times New Roman"/>
                <w:color w:val="404040"/>
                <w:sz w:val="20"/>
                <w:szCs w:val="20"/>
              </w:rPr>
            </w:pPr>
            <w:r w:rsidRPr="00CC6BAC">
              <w:rPr>
                <w:rFonts w:ascii="Times New Roman" w:hAnsi="Times New Roman"/>
                <w:b/>
                <w:color w:val="404040"/>
                <w:sz w:val="20"/>
                <w:szCs w:val="20"/>
              </w:rPr>
              <w:t xml:space="preserve">Check-in </w:t>
            </w:r>
            <w:r w:rsidR="00D5322E">
              <w:rPr>
                <w:rFonts w:ascii="Times New Roman" w:hAnsi="Times New Roman"/>
                <w:b/>
                <w:color w:val="404040"/>
                <w:sz w:val="20"/>
                <w:szCs w:val="20"/>
              </w:rPr>
              <w:t>M</w:t>
            </w:r>
            <w:r w:rsidRPr="00CC6BAC">
              <w:rPr>
                <w:rFonts w:ascii="Times New Roman" w:hAnsi="Times New Roman"/>
                <w:b/>
                <w:color w:val="404040"/>
                <w:sz w:val="20"/>
                <w:szCs w:val="20"/>
              </w:rPr>
              <w:t>eetings:</w:t>
            </w:r>
            <w:r w:rsidRPr="00B46D51">
              <w:rPr>
                <w:rFonts w:ascii="Times New Roman" w:hAnsi="Times New Roman"/>
                <w:color w:val="404040"/>
                <w:sz w:val="20"/>
                <w:szCs w:val="20"/>
              </w:rPr>
              <w:t xml:space="preserve"> </w:t>
            </w:r>
            <w:r>
              <w:rPr>
                <w:rFonts w:ascii="Times New Roman" w:hAnsi="Times New Roman"/>
                <w:color w:val="404040"/>
                <w:sz w:val="20"/>
                <w:szCs w:val="20"/>
              </w:rPr>
              <w:t xml:space="preserve">Conduct </w:t>
            </w:r>
            <w:r w:rsidRPr="003B2EAC">
              <w:rPr>
                <w:rFonts w:ascii="Times New Roman" w:hAnsi="Times New Roman"/>
                <w:color w:val="404040"/>
                <w:sz w:val="20"/>
                <w:szCs w:val="20"/>
              </w:rPr>
              <w:t>virtua</w:t>
            </w:r>
            <w:r>
              <w:rPr>
                <w:rFonts w:ascii="Times New Roman" w:hAnsi="Times New Roman"/>
                <w:color w:val="404040"/>
                <w:sz w:val="20"/>
                <w:szCs w:val="20"/>
              </w:rPr>
              <w:t>l</w:t>
            </w:r>
            <w:r w:rsidRPr="003B2EAC">
              <w:rPr>
                <w:rFonts w:ascii="Times New Roman" w:hAnsi="Times New Roman"/>
                <w:color w:val="404040"/>
                <w:sz w:val="20"/>
                <w:szCs w:val="20"/>
              </w:rPr>
              <w:t xml:space="preserve"> weekly, 60-minute meetings leading up to the site launch</w:t>
            </w:r>
            <w:r>
              <w:rPr>
                <w:rFonts w:ascii="Times New Roman" w:hAnsi="Times New Roman"/>
                <w:color w:val="404040"/>
                <w:sz w:val="20"/>
                <w:szCs w:val="20"/>
              </w:rPr>
              <w:t xml:space="preserve"> </w:t>
            </w:r>
            <w:r w:rsidR="00B2585B">
              <w:rPr>
                <w:rFonts w:ascii="Times New Roman" w:hAnsi="Times New Roman"/>
                <w:color w:val="404040"/>
                <w:sz w:val="20"/>
                <w:szCs w:val="20"/>
              </w:rPr>
              <w:t xml:space="preserve">or re-launch </w:t>
            </w:r>
            <w:r>
              <w:rPr>
                <w:rFonts w:ascii="Times New Roman" w:hAnsi="Times New Roman"/>
                <w:color w:val="404040"/>
                <w:sz w:val="20"/>
                <w:szCs w:val="20"/>
              </w:rPr>
              <w:t>to gather feedback, determine workflows and processes, provide information, revise strategy and determine engagement tactics. Post-launch, meetings will be held every other week.</w:t>
            </w:r>
          </w:p>
          <w:p w14:paraId="725DCF7D" w14:textId="4DB41ACD" w:rsidR="00871A81" w:rsidRPr="00871A81" w:rsidRDefault="00871A81" w:rsidP="00871A81">
            <w:pPr>
              <w:pStyle w:val="MediumGrid1-Accent21"/>
              <w:numPr>
                <w:ilvl w:val="0"/>
                <w:numId w:val="20"/>
              </w:numPr>
              <w:spacing w:before="60" w:after="0" w:line="288" w:lineRule="auto"/>
              <w:ind w:left="720"/>
              <w:rPr>
                <w:rFonts w:ascii="Times New Roman" w:hAnsi="Times New Roman"/>
                <w:bCs/>
                <w:color w:val="404040"/>
                <w:sz w:val="20"/>
                <w:szCs w:val="20"/>
              </w:rPr>
            </w:pPr>
            <w:r w:rsidRPr="00871A81">
              <w:rPr>
                <w:rFonts w:ascii="Times New Roman" w:hAnsi="Times New Roman"/>
                <w:b/>
                <w:bCs/>
                <w:color w:val="404040"/>
                <w:sz w:val="20"/>
                <w:szCs w:val="20"/>
              </w:rPr>
              <w:t xml:space="preserve">Pre-launch Planning &amp; Configuration: </w:t>
            </w:r>
            <w:r>
              <w:rPr>
                <w:rFonts w:ascii="Times New Roman" w:hAnsi="Times New Roman"/>
                <w:b/>
                <w:bCs/>
                <w:color w:val="404040"/>
                <w:sz w:val="20"/>
                <w:szCs w:val="20"/>
              </w:rPr>
              <w:t>A</w:t>
            </w:r>
            <w:r w:rsidRPr="00871A81">
              <w:rPr>
                <w:rFonts w:ascii="Times New Roman" w:hAnsi="Times New Roman"/>
                <w:bCs/>
                <w:color w:val="404040"/>
                <w:sz w:val="20"/>
                <w:szCs w:val="20"/>
              </w:rPr>
              <w:t xml:space="preserve">ssist with community beta testing, seed content gathering and curation, creating resources for community member onboarding and setting up your terms of use. </w:t>
            </w:r>
          </w:p>
          <w:p w14:paraId="059F6474" w14:textId="7EC76685" w:rsidR="0037562D" w:rsidRDefault="00CB2D3A" w:rsidP="007B376A">
            <w:pPr>
              <w:pStyle w:val="MediumGrid1-Accent21"/>
              <w:numPr>
                <w:ilvl w:val="0"/>
                <w:numId w:val="20"/>
              </w:numPr>
              <w:spacing w:before="60" w:after="0" w:line="288" w:lineRule="auto"/>
              <w:ind w:left="720"/>
              <w:contextualSpacing w:val="0"/>
              <w:rPr>
                <w:rFonts w:ascii="Times New Roman" w:hAnsi="Times New Roman"/>
                <w:bCs/>
                <w:color w:val="404040"/>
                <w:sz w:val="20"/>
                <w:szCs w:val="20"/>
              </w:rPr>
            </w:pPr>
            <w:r w:rsidRPr="00CB2D3A">
              <w:rPr>
                <w:rFonts w:ascii="Times New Roman" w:hAnsi="Times New Roman"/>
                <w:b/>
                <w:bCs/>
                <w:color w:val="404040"/>
                <w:sz w:val="20"/>
                <w:szCs w:val="20"/>
              </w:rPr>
              <w:t xml:space="preserve">Community </w:t>
            </w:r>
            <w:r w:rsidR="00B2585B">
              <w:rPr>
                <w:rFonts w:ascii="Times New Roman" w:hAnsi="Times New Roman"/>
                <w:b/>
                <w:bCs/>
                <w:color w:val="404040"/>
                <w:sz w:val="20"/>
                <w:szCs w:val="20"/>
              </w:rPr>
              <w:t>E</w:t>
            </w:r>
            <w:r w:rsidRPr="00CB2D3A">
              <w:rPr>
                <w:rFonts w:ascii="Times New Roman" w:hAnsi="Times New Roman"/>
                <w:b/>
                <w:bCs/>
                <w:color w:val="404040"/>
                <w:sz w:val="20"/>
                <w:szCs w:val="20"/>
              </w:rPr>
              <w:t xml:space="preserve">ngagement </w:t>
            </w:r>
            <w:r w:rsidR="00B2585B">
              <w:rPr>
                <w:rFonts w:ascii="Times New Roman" w:hAnsi="Times New Roman"/>
                <w:b/>
                <w:bCs/>
                <w:color w:val="404040"/>
                <w:sz w:val="20"/>
                <w:szCs w:val="20"/>
              </w:rPr>
              <w:t>T</w:t>
            </w:r>
            <w:r w:rsidRPr="00CB2D3A">
              <w:rPr>
                <w:rFonts w:ascii="Times New Roman" w:hAnsi="Times New Roman"/>
                <w:b/>
                <w:bCs/>
                <w:color w:val="404040"/>
                <w:sz w:val="20"/>
                <w:szCs w:val="20"/>
              </w:rPr>
              <w:t xml:space="preserve">actic </w:t>
            </w:r>
            <w:r w:rsidR="00B2585B">
              <w:rPr>
                <w:rFonts w:ascii="Times New Roman" w:hAnsi="Times New Roman"/>
                <w:b/>
                <w:bCs/>
                <w:color w:val="404040"/>
                <w:sz w:val="20"/>
                <w:szCs w:val="20"/>
              </w:rPr>
              <w:t>D</w:t>
            </w:r>
            <w:r w:rsidRPr="00CB2D3A">
              <w:rPr>
                <w:rFonts w:ascii="Times New Roman" w:hAnsi="Times New Roman"/>
                <w:b/>
                <w:bCs/>
                <w:color w:val="404040"/>
                <w:sz w:val="20"/>
                <w:szCs w:val="20"/>
              </w:rPr>
              <w:t xml:space="preserve">esign: </w:t>
            </w:r>
            <w:r w:rsidR="0037562D" w:rsidRPr="0037562D">
              <w:rPr>
                <w:rFonts w:ascii="Times New Roman" w:hAnsi="Times New Roman"/>
                <w:bCs/>
                <w:color w:val="404040"/>
                <w:sz w:val="20"/>
                <w:szCs w:val="20"/>
              </w:rPr>
              <w:t xml:space="preserve">Maintain a monthly </w:t>
            </w:r>
            <w:r w:rsidR="00964AE4">
              <w:rPr>
                <w:rFonts w:ascii="Times New Roman" w:hAnsi="Times New Roman"/>
                <w:bCs/>
                <w:color w:val="404040"/>
                <w:sz w:val="20"/>
                <w:szCs w:val="20"/>
              </w:rPr>
              <w:t>community</w:t>
            </w:r>
            <w:r w:rsidR="0037562D" w:rsidRPr="0037562D">
              <w:rPr>
                <w:rFonts w:ascii="Times New Roman" w:hAnsi="Times New Roman"/>
                <w:bCs/>
                <w:color w:val="404040"/>
                <w:sz w:val="20"/>
                <w:szCs w:val="20"/>
              </w:rPr>
              <w:t xml:space="preserve"> content calendar aligned to the </w:t>
            </w:r>
            <w:r w:rsidR="00964AE4">
              <w:rPr>
                <w:rFonts w:ascii="Times New Roman" w:hAnsi="Times New Roman"/>
                <w:bCs/>
                <w:color w:val="404040"/>
                <w:sz w:val="20"/>
                <w:szCs w:val="20"/>
              </w:rPr>
              <w:t>engagement</w:t>
            </w:r>
            <w:r w:rsidR="0037562D" w:rsidRPr="0037562D">
              <w:rPr>
                <w:rFonts w:ascii="Times New Roman" w:hAnsi="Times New Roman"/>
                <w:bCs/>
                <w:color w:val="404040"/>
                <w:sz w:val="20"/>
                <w:szCs w:val="20"/>
              </w:rPr>
              <w:t xml:space="preserve"> strategy</w:t>
            </w:r>
            <w:r w:rsidR="0037562D">
              <w:rPr>
                <w:rFonts w:ascii="Times New Roman" w:hAnsi="Times New Roman"/>
                <w:bCs/>
                <w:color w:val="404040"/>
                <w:sz w:val="20"/>
                <w:szCs w:val="20"/>
              </w:rPr>
              <w:t>. D</w:t>
            </w:r>
            <w:r w:rsidR="0037562D" w:rsidRPr="0037562D">
              <w:rPr>
                <w:rFonts w:ascii="Times New Roman" w:hAnsi="Times New Roman"/>
                <w:bCs/>
                <w:color w:val="404040"/>
                <w:sz w:val="20"/>
                <w:szCs w:val="20"/>
              </w:rPr>
              <w:t xml:space="preserve">eliver at least </w:t>
            </w:r>
            <w:r w:rsidR="00B2585B">
              <w:rPr>
                <w:rFonts w:ascii="Times New Roman" w:hAnsi="Times New Roman"/>
                <w:bCs/>
                <w:color w:val="404040"/>
                <w:sz w:val="20"/>
                <w:szCs w:val="20"/>
              </w:rPr>
              <w:t>one</w:t>
            </w:r>
            <w:r w:rsidR="0037562D" w:rsidRPr="0037562D">
              <w:rPr>
                <w:rFonts w:ascii="Times New Roman" w:hAnsi="Times New Roman"/>
                <w:bCs/>
                <w:color w:val="404040"/>
                <w:sz w:val="20"/>
                <w:szCs w:val="20"/>
              </w:rPr>
              <w:t xml:space="preserve"> and up to </w:t>
            </w:r>
            <w:r w:rsidR="00B2585B">
              <w:rPr>
                <w:rFonts w:ascii="Times New Roman" w:hAnsi="Times New Roman"/>
                <w:bCs/>
                <w:color w:val="404040"/>
                <w:sz w:val="20"/>
                <w:szCs w:val="20"/>
              </w:rPr>
              <w:t>four</w:t>
            </w:r>
            <w:r w:rsidR="0037562D" w:rsidRPr="0037562D">
              <w:rPr>
                <w:rFonts w:ascii="Times New Roman" w:hAnsi="Times New Roman"/>
                <w:bCs/>
                <w:color w:val="404040"/>
                <w:sz w:val="20"/>
                <w:szCs w:val="20"/>
              </w:rPr>
              <w:t xml:space="preserve"> engagement tactics per month</w:t>
            </w:r>
            <w:r w:rsidR="00964AE4">
              <w:rPr>
                <w:rFonts w:ascii="Times New Roman" w:hAnsi="Times New Roman"/>
                <w:bCs/>
                <w:color w:val="404040"/>
                <w:sz w:val="20"/>
                <w:szCs w:val="20"/>
              </w:rPr>
              <w:t>, depending on organization initiatives and organic engagement activity</w:t>
            </w:r>
            <w:r w:rsidR="0037562D" w:rsidRPr="0037562D">
              <w:rPr>
                <w:rFonts w:ascii="Times New Roman" w:hAnsi="Times New Roman"/>
                <w:bCs/>
                <w:color w:val="404040"/>
                <w:sz w:val="20"/>
                <w:szCs w:val="20"/>
              </w:rPr>
              <w:t xml:space="preserve">. </w:t>
            </w:r>
          </w:p>
          <w:p w14:paraId="0EB2EE68" w14:textId="43017752" w:rsidR="00CB2D3A" w:rsidRPr="00CB2D3A" w:rsidRDefault="00EE6F45" w:rsidP="007B376A">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sidRPr="00CC6BAC">
              <w:rPr>
                <w:rFonts w:ascii="Times New Roman" w:hAnsi="Times New Roman"/>
                <w:b/>
                <w:color w:val="404040"/>
                <w:sz w:val="20"/>
                <w:szCs w:val="20"/>
              </w:rPr>
              <w:t>Automation Rules:</w:t>
            </w:r>
            <w:r w:rsidRPr="00B46D51">
              <w:rPr>
                <w:rFonts w:ascii="Times New Roman" w:hAnsi="Times New Roman"/>
                <w:color w:val="404040"/>
                <w:sz w:val="20"/>
                <w:szCs w:val="20"/>
              </w:rPr>
              <w:t xml:space="preserve"> Determine</w:t>
            </w:r>
            <w:r w:rsidR="00964AE4">
              <w:rPr>
                <w:rFonts w:ascii="Times New Roman" w:hAnsi="Times New Roman"/>
                <w:color w:val="404040"/>
                <w:sz w:val="20"/>
                <w:szCs w:val="20"/>
              </w:rPr>
              <w:t xml:space="preserve"> and </w:t>
            </w:r>
            <w:r w:rsidRPr="00B46D51">
              <w:rPr>
                <w:rFonts w:ascii="Times New Roman" w:hAnsi="Times New Roman"/>
                <w:color w:val="404040"/>
                <w:sz w:val="20"/>
                <w:szCs w:val="20"/>
              </w:rPr>
              <w:t xml:space="preserve">develop appropriate automation rules for new user onboarding, gamification, engagement and other strategies. </w:t>
            </w:r>
            <w:r w:rsidR="00964AE4">
              <w:rPr>
                <w:rFonts w:ascii="Times New Roman" w:hAnsi="Times New Roman"/>
                <w:color w:val="404040"/>
                <w:sz w:val="20"/>
                <w:szCs w:val="20"/>
              </w:rPr>
              <w:t>Up to five email automation rules will be configured pre-launch</w:t>
            </w:r>
            <w:r w:rsidR="00871A81">
              <w:rPr>
                <w:rFonts w:ascii="Times New Roman" w:hAnsi="Times New Roman"/>
                <w:color w:val="404040"/>
                <w:sz w:val="20"/>
                <w:szCs w:val="20"/>
              </w:rPr>
              <w:t>, then we’ll</w:t>
            </w:r>
            <w:r w:rsidR="00871A81" w:rsidRPr="00871A81">
              <w:rPr>
                <w:rFonts w:ascii="Times New Roman" w:hAnsi="Times New Roman"/>
                <w:color w:val="404040"/>
                <w:sz w:val="20"/>
                <w:szCs w:val="20"/>
              </w:rPr>
              <w:t xml:space="preserve"> continue to build on these throughout your service</w:t>
            </w:r>
            <w:r w:rsidR="00871A81">
              <w:rPr>
                <w:rFonts w:ascii="Times New Roman" w:hAnsi="Times New Roman"/>
                <w:color w:val="404040"/>
                <w:sz w:val="20"/>
                <w:szCs w:val="20"/>
              </w:rPr>
              <w:t>.</w:t>
            </w:r>
            <w:bookmarkStart w:id="0" w:name="_GoBack"/>
            <w:bookmarkEnd w:id="0"/>
          </w:p>
          <w:p w14:paraId="6283583F" w14:textId="3348830A" w:rsidR="003B2EAC" w:rsidRPr="00B46D51" w:rsidRDefault="00CB2D3A" w:rsidP="007B376A">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sidRPr="0037562D">
              <w:rPr>
                <w:rFonts w:ascii="Times New Roman" w:hAnsi="Times New Roman"/>
                <w:b/>
                <w:color w:val="404040"/>
                <w:sz w:val="20"/>
                <w:szCs w:val="20"/>
              </w:rPr>
              <w:lastRenderedPageBreak/>
              <w:t>Staff Onboarding and Support:</w:t>
            </w:r>
            <w:r>
              <w:rPr>
                <w:rFonts w:ascii="Times New Roman" w:hAnsi="Times New Roman"/>
                <w:color w:val="404040"/>
                <w:sz w:val="20"/>
                <w:szCs w:val="20"/>
              </w:rPr>
              <w:t xml:space="preserve"> Create a private online community on your platform </w:t>
            </w:r>
            <w:r w:rsidR="0037562D">
              <w:rPr>
                <w:rFonts w:ascii="Times New Roman" w:hAnsi="Times New Roman"/>
                <w:color w:val="404040"/>
                <w:sz w:val="20"/>
                <w:szCs w:val="20"/>
              </w:rPr>
              <w:t xml:space="preserve">for all stakeholders; centralize all communications and resource sharing in this community. </w:t>
            </w:r>
            <w:r w:rsidR="0037562D" w:rsidRPr="0037562D">
              <w:rPr>
                <w:rFonts w:ascii="Times New Roman" w:hAnsi="Times New Roman"/>
                <w:color w:val="404040"/>
                <w:sz w:val="20"/>
                <w:szCs w:val="20"/>
              </w:rPr>
              <w:t xml:space="preserve">Provide </w:t>
            </w:r>
            <w:r w:rsidR="0037562D">
              <w:rPr>
                <w:rFonts w:ascii="Times New Roman" w:hAnsi="Times New Roman"/>
                <w:color w:val="404040"/>
                <w:sz w:val="20"/>
                <w:szCs w:val="20"/>
              </w:rPr>
              <w:t xml:space="preserve">two 90-minute </w:t>
            </w:r>
            <w:r w:rsidR="0037562D" w:rsidRPr="0037562D">
              <w:rPr>
                <w:rFonts w:ascii="Times New Roman" w:hAnsi="Times New Roman"/>
                <w:color w:val="404040"/>
                <w:sz w:val="20"/>
                <w:szCs w:val="20"/>
              </w:rPr>
              <w:t xml:space="preserve">staff training </w:t>
            </w:r>
            <w:r w:rsidR="0037562D">
              <w:rPr>
                <w:rFonts w:ascii="Times New Roman" w:hAnsi="Times New Roman"/>
                <w:color w:val="404040"/>
                <w:sz w:val="20"/>
                <w:szCs w:val="20"/>
              </w:rPr>
              <w:t xml:space="preserve">sessions </w:t>
            </w:r>
            <w:r w:rsidR="0037562D" w:rsidRPr="0037562D">
              <w:rPr>
                <w:rFonts w:ascii="Times New Roman" w:hAnsi="Times New Roman"/>
                <w:color w:val="404040"/>
                <w:sz w:val="20"/>
                <w:szCs w:val="20"/>
              </w:rPr>
              <w:t xml:space="preserve">via web conference per </w:t>
            </w:r>
            <w:r w:rsidR="0037562D">
              <w:rPr>
                <w:rFonts w:ascii="Times New Roman" w:hAnsi="Times New Roman"/>
                <w:color w:val="404040"/>
                <w:sz w:val="20"/>
                <w:szCs w:val="20"/>
              </w:rPr>
              <w:t>contract cycle</w:t>
            </w:r>
            <w:r w:rsidR="0037562D" w:rsidRPr="0037562D">
              <w:rPr>
                <w:rFonts w:ascii="Times New Roman" w:hAnsi="Times New Roman"/>
                <w:color w:val="404040"/>
                <w:sz w:val="20"/>
                <w:szCs w:val="20"/>
              </w:rPr>
              <w:t xml:space="preserve"> to supplement Higher Logic Academy</w:t>
            </w:r>
            <w:r w:rsidR="0037562D">
              <w:rPr>
                <w:rFonts w:ascii="Times New Roman" w:hAnsi="Times New Roman"/>
                <w:color w:val="404040"/>
                <w:sz w:val="20"/>
                <w:szCs w:val="20"/>
              </w:rPr>
              <w:t xml:space="preserve"> </w:t>
            </w:r>
            <w:r w:rsidR="0037562D" w:rsidRPr="0037562D">
              <w:rPr>
                <w:rFonts w:ascii="Times New Roman" w:hAnsi="Times New Roman"/>
                <w:color w:val="404040"/>
                <w:sz w:val="20"/>
                <w:szCs w:val="20"/>
              </w:rPr>
              <w:t>resources. If extra or in-person training sessions are necessary, these can be provided for an additional fee.</w:t>
            </w:r>
          </w:p>
          <w:p w14:paraId="170485E4" w14:textId="77777777" w:rsidR="00871A81" w:rsidRPr="0002200E" w:rsidRDefault="00871A81" w:rsidP="00871A81">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sidRPr="00CC6BAC">
              <w:rPr>
                <w:rFonts w:ascii="Times New Roman" w:hAnsi="Times New Roman"/>
                <w:b/>
                <w:color w:val="404040"/>
                <w:sz w:val="20"/>
                <w:szCs w:val="20"/>
              </w:rPr>
              <w:t>Moderation:</w:t>
            </w:r>
            <w:r w:rsidRPr="00B46D51">
              <w:rPr>
                <w:rFonts w:ascii="Times New Roman" w:hAnsi="Times New Roman"/>
                <w:color w:val="404040"/>
                <w:sz w:val="20"/>
                <w:szCs w:val="20"/>
              </w:rPr>
              <w:t xml:space="preserve"> </w:t>
            </w:r>
            <w:r>
              <w:rPr>
                <w:rFonts w:ascii="Times New Roman" w:hAnsi="Times New Roman"/>
                <w:color w:val="404040"/>
                <w:sz w:val="20"/>
                <w:szCs w:val="20"/>
              </w:rPr>
              <w:t>C</w:t>
            </w:r>
            <w:r w:rsidRPr="0002200E">
              <w:rPr>
                <w:rFonts w:ascii="Times New Roman" w:hAnsi="Times New Roman"/>
                <w:color w:val="404040"/>
                <w:sz w:val="20"/>
                <w:szCs w:val="20"/>
              </w:rPr>
              <w:t>onduct a twice</w:t>
            </w:r>
            <w:r>
              <w:rPr>
                <w:rFonts w:ascii="Times New Roman" w:hAnsi="Times New Roman"/>
                <w:color w:val="404040"/>
                <w:sz w:val="20"/>
                <w:szCs w:val="20"/>
              </w:rPr>
              <w:t>-</w:t>
            </w:r>
            <w:r w:rsidRPr="0002200E">
              <w:rPr>
                <w:rFonts w:ascii="Times New Roman" w:hAnsi="Times New Roman"/>
                <w:color w:val="404040"/>
                <w:sz w:val="20"/>
                <w:szCs w:val="20"/>
              </w:rPr>
              <w:t>daily review (</w:t>
            </w:r>
            <w:r w:rsidRPr="00964AE4">
              <w:rPr>
                <w:rFonts w:ascii="Times New Roman" w:hAnsi="Times New Roman"/>
                <w:color w:val="404040"/>
                <w:sz w:val="20"/>
                <w:szCs w:val="20"/>
              </w:rPr>
              <w:t xml:space="preserve">opening and closing of the business day, during </w:t>
            </w:r>
            <w:hyperlink r:id="rId9" w:history="1">
              <w:r w:rsidRPr="00964AE4">
                <w:rPr>
                  <w:rFonts w:ascii="Times New Roman" w:hAnsi="Times New Roman"/>
                  <w:color w:val="404040"/>
                  <w:sz w:val="20"/>
                  <w:szCs w:val="20"/>
                </w:rPr>
                <w:t>Higher Logic business hours</w:t>
              </w:r>
            </w:hyperlink>
            <w:r w:rsidRPr="00964AE4">
              <w:rPr>
                <w:rFonts w:ascii="Times New Roman" w:hAnsi="Times New Roman"/>
                <w:color w:val="404040"/>
                <w:sz w:val="20"/>
                <w:szCs w:val="20"/>
              </w:rPr>
              <w:t>) o</w:t>
            </w:r>
            <w:r w:rsidRPr="0002200E">
              <w:rPr>
                <w:rFonts w:ascii="Times New Roman" w:hAnsi="Times New Roman"/>
                <w:color w:val="404040"/>
                <w:sz w:val="20"/>
                <w:szCs w:val="20"/>
              </w:rPr>
              <w:t>f the moderation queue and designated Community Manager email inbox, including:</w:t>
            </w:r>
          </w:p>
          <w:p w14:paraId="23913E37" w14:textId="77777777" w:rsidR="00871A81" w:rsidRPr="0002200E" w:rsidRDefault="00871A81" w:rsidP="00871A81">
            <w:pPr>
              <w:pStyle w:val="MediumGrid1-Accent21"/>
              <w:numPr>
                <w:ilvl w:val="1"/>
                <w:numId w:val="20"/>
              </w:numPr>
              <w:spacing w:before="60" w:after="0" w:line="288" w:lineRule="auto"/>
              <w:contextualSpacing w:val="0"/>
              <w:rPr>
                <w:rFonts w:ascii="Times New Roman" w:hAnsi="Times New Roman"/>
                <w:color w:val="404040"/>
                <w:sz w:val="20"/>
                <w:szCs w:val="20"/>
              </w:rPr>
            </w:pPr>
            <w:r>
              <w:rPr>
                <w:rFonts w:ascii="Times New Roman" w:hAnsi="Times New Roman"/>
                <w:color w:val="404040"/>
                <w:sz w:val="20"/>
                <w:szCs w:val="20"/>
              </w:rPr>
              <w:t>P</w:t>
            </w:r>
            <w:r w:rsidRPr="0002200E">
              <w:rPr>
                <w:rFonts w:ascii="Times New Roman" w:hAnsi="Times New Roman"/>
                <w:color w:val="404040"/>
                <w:sz w:val="20"/>
                <w:szCs w:val="20"/>
              </w:rPr>
              <w:t>articipating in the community where applicable, including limited moderation and conflict resolution</w:t>
            </w:r>
          </w:p>
          <w:p w14:paraId="160C9B46" w14:textId="77777777" w:rsidR="00871A81" w:rsidRPr="0002200E" w:rsidRDefault="00871A81" w:rsidP="00871A81">
            <w:pPr>
              <w:pStyle w:val="MediumGrid1-Accent21"/>
              <w:numPr>
                <w:ilvl w:val="1"/>
                <w:numId w:val="20"/>
              </w:numPr>
              <w:spacing w:after="0" w:line="288" w:lineRule="auto"/>
              <w:contextualSpacing w:val="0"/>
              <w:rPr>
                <w:rFonts w:ascii="Times New Roman" w:hAnsi="Times New Roman"/>
                <w:color w:val="404040"/>
                <w:sz w:val="20"/>
                <w:szCs w:val="20"/>
              </w:rPr>
            </w:pPr>
            <w:r>
              <w:rPr>
                <w:rFonts w:ascii="Times New Roman" w:hAnsi="Times New Roman"/>
                <w:color w:val="404040"/>
                <w:sz w:val="20"/>
                <w:szCs w:val="20"/>
              </w:rPr>
              <w:t>P</w:t>
            </w:r>
            <w:r w:rsidRPr="0002200E">
              <w:rPr>
                <w:rFonts w:ascii="Times New Roman" w:hAnsi="Times New Roman"/>
                <w:color w:val="404040"/>
                <w:sz w:val="20"/>
                <w:szCs w:val="20"/>
              </w:rPr>
              <w:t>roviding guidance to the customer point of contact on strategies for managing moderation and member violations of the community guidelines</w:t>
            </w:r>
          </w:p>
          <w:p w14:paraId="7CAD975B" w14:textId="77777777" w:rsidR="00871A81" w:rsidRPr="0002200E" w:rsidRDefault="00871A81" w:rsidP="00871A81">
            <w:pPr>
              <w:pStyle w:val="MediumGrid1-Accent21"/>
              <w:numPr>
                <w:ilvl w:val="1"/>
                <w:numId w:val="20"/>
              </w:numPr>
              <w:spacing w:after="0" w:line="288" w:lineRule="auto"/>
              <w:contextualSpacing w:val="0"/>
              <w:rPr>
                <w:rFonts w:ascii="Times New Roman" w:hAnsi="Times New Roman"/>
                <w:color w:val="404040"/>
                <w:sz w:val="20"/>
                <w:szCs w:val="20"/>
              </w:rPr>
            </w:pPr>
            <w:r>
              <w:rPr>
                <w:rFonts w:ascii="Times New Roman" w:hAnsi="Times New Roman"/>
                <w:color w:val="404040"/>
                <w:sz w:val="20"/>
                <w:szCs w:val="20"/>
              </w:rPr>
              <w:t>R</w:t>
            </w:r>
            <w:r w:rsidRPr="0002200E">
              <w:rPr>
                <w:rFonts w:ascii="Times New Roman" w:hAnsi="Times New Roman"/>
                <w:color w:val="404040"/>
                <w:sz w:val="20"/>
                <w:szCs w:val="20"/>
              </w:rPr>
              <w:t>esponding or escalat</w:t>
            </w:r>
            <w:r>
              <w:rPr>
                <w:rFonts w:ascii="Times New Roman" w:hAnsi="Times New Roman"/>
                <w:color w:val="404040"/>
                <w:sz w:val="20"/>
                <w:szCs w:val="20"/>
              </w:rPr>
              <w:t>ing</w:t>
            </w:r>
            <w:r w:rsidRPr="0002200E">
              <w:rPr>
                <w:rFonts w:ascii="Times New Roman" w:hAnsi="Times New Roman"/>
                <w:color w:val="404040"/>
                <w:sz w:val="20"/>
                <w:szCs w:val="20"/>
              </w:rPr>
              <w:t xml:space="preserve"> user requests for support within 1 business day, following the processes outlined in </w:t>
            </w:r>
            <w:r>
              <w:rPr>
                <w:rFonts w:ascii="Times New Roman" w:hAnsi="Times New Roman"/>
                <w:color w:val="404040"/>
                <w:sz w:val="20"/>
                <w:szCs w:val="20"/>
              </w:rPr>
              <w:t>established and agreed-upon</w:t>
            </w:r>
            <w:r w:rsidRPr="0002200E">
              <w:rPr>
                <w:rFonts w:ascii="Times New Roman" w:hAnsi="Times New Roman"/>
                <w:color w:val="404040"/>
                <w:sz w:val="20"/>
                <w:szCs w:val="20"/>
              </w:rPr>
              <w:t xml:space="preserve"> Escalation Matrix</w:t>
            </w:r>
          </w:p>
          <w:p w14:paraId="557174AF" w14:textId="48A799A8" w:rsidR="009219FE" w:rsidRPr="0002200E" w:rsidRDefault="0002200E" w:rsidP="007B376A">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Pr>
                <w:rFonts w:ascii="Times New Roman" w:hAnsi="Times New Roman"/>
                <w:b/>
                <w:color w:val="404040"/>
                <w:sz w:val="20"/>
                <w:szCs w:val="20"/>
              </w:rPr>
              <w:t>Site Updates</w:t>
            </w:r>
            <w:r w:rsidR="00A74820" w:rsidRPr="00CC6BAC">
              <w:rPr>
                <w:rFonts w:ascii="Times New Roman" w:hAnsi="Times New Roman"/>
                <w:b/>
                <w:color w:val="404040"/>
                <w:sz w:val="20"/>
                <w:szCs w:val="20"/>
              </w:rPr>
              <w:t>:</w:t>
            </w:r>
            <w:r w:rsidR="00A74820" w:rsidRPr="00B46D51">
              <w:rPr>
                <w:rFonts w:ascii="Times New Roman" w:hAnsi="Times New Roman"/>
                <w:color w:val="404040"/>
                <w:sz w:val="20"/>
                <w:szCs w:val="20"/>
              </w:rPr>
              <w:t xml:space="preserve"> </w:t>
            </w:r>
            <w:r>
              <w:rPr>
                <w:rFonts w:ascii="Times New Roman" w:hAnsi="Times New Roman"/>
                <w:color w:val="404040"/>
                <w:sz w:val="20"/>
                <w:szCs w:val="20"/>
              </w:rPr>
              <w:t>Provide</w:t>
            </w:r>
            <w:r w:rsidRPr="0002200E">
              <w:rPr>
                <w:rFonts w:ascii="Times New Roman" w:hAnsi="Times New Roman"/>
                <w:color w:val="404040"/>
                <w:sz w:val="20"/>
                <w:szCs w:val="20"/>
              </w:rPr>
              <w:t xml:space="preserve"> updates to the customer point of contact on new site features and functionality; advise customer on next steps for leveraging the functionality to engage users; support next steps in implementing the new feature</w:t>
            </w:r>
            <w:r>
              <w:rPr>
                <w:rFonts w:ascii="Times New Roman" w:hAnsi="Times New Roman"/>
                <w:color w:val="404040"/>
                <w:sz w:val="20"/>
                <w:szCs w:val="20"/>
              </w:rPr>
              <w:t>.</w:t>
            </w:r>
          </w:p>
          <w:p w14:paraId="7C963EAE" w14:textId="402810B4" w:rsidR="00ED0958" w:rsidRPr="00B46D51" w:rsidRDefault="009219FE" w:rsidP="00BA529F">
            <w:pPr>
              <w:pStyle w:val="MediumGrid1-Accent21"/>
              <w:numPr>
                <w:ilvl w:val="0"/>
                <w:numId w:val="20"/>
              </w:numPr>
              <w:spacing w:before="60" w:after="0" w:line="288" w:lineRule="auto"/>
              <w:ind w:left="720"/>
              <w:contextualSpacing w:val="0"/>
              <w:rPr>
                <w:rFonts w:ascii="Times New Roman" w:hAnsi="Times New Roman"/>
                <w:color w:val="404040"/>
                <w:sz w:val="20"/>
                <w:szCs w:val="20"/>
              </w:rPr>
            </w:pPr>
            <w:r w:rsidRPr="00CC6BAC">
              <w:rPr>
                <w:rFonts w:ascii="Times New Roman" w:hAnsi="Times New Roman"/>
                <w:b/>
                <w:color w:val="404040"/>
                <w:sz w:val="20"/>
                <w:szCs w:val="20"/>
              </w:rPr>
              <w:t>Reporting &amp; Metrics:</w:t>
            </w:r>
            <w:r w:rsidRPr="00B46D51">
              <w:rPr>
                <w:rFonts w:ascii="Times New Roman" w:hAnsi="Times New Roman"/>
                <w:color w:val="404040"/>
                <w:sz w:val="20"/>
                <w:szCs w:val="20"/>
              </w:rPr>
              <w:t xml:space="preserve"> </w:t>
            </w:r>
            <w:r w:rsidR="00EE6F45">
              <w:rPr>
                <w:rFonts w:ascii="Times New Roman" w:hAnsi="Times New Roman"/>
                <w:color w:val="404040"/>
                <w:sz w:val="20"/>
                <w:szCs w:val="20"/>
              </w:rPr>
              <w:t>Analyze</w:t>
            </w:r>
            <w:r w:rsidR="00ED0958" w:rsidRPr="00B46D51">
              <w:rPr>
                <w:rFonts w:ascii="Times New Roman" w:hAnsi="Times New Roman"/>
                <w:color w:val="404040"/>
                <w:sz w:val="20"/>
                <w:szCs w:val="20"/>
              </w:rPr>
              <w:t xml:space="preserve"> and </w:t>
            </w:r>
            <w:r w:rsidR="00EE6F45">
              <w:rPr>
                <w:rFonts w:ascii="Times New Roman" w:hAnsi="Times New Roman"/>
                <w:color w:val="404040"/>
                <w:sz w:val="20"/>
                <w:szCs w:val="20"/>
              </w:rPr>
              <w:t>review</w:t>
            </w:r>
            <w:r w:rsidR="00ED0958" w:rsidRPr="00B46D51">
              <w:rPr>
                <w:rFonts w:ascii="Times New Roman" w:hAnsi="Times New Roman"/>
                <w:color w:val="404040"/>
                <w:sz w:val="20"/>
                <w:szCs w:val="20"/>
              </w:rPr>
              <w:t xml:space="preserve"> key performance indicators </w:t>
            </w:r>
            <w:r w:rsidR="00EE6F45">
              <w:rPr>
                <w:rFonts w:ascii="Times New Roman" w:hAnsi="Times New Roman"/>
                <w:color w:val="404040"/>
                <w:sz w:val="20"/>
                <w:szCs w:val="20"/>
              </w:rPr>
              <w:t xml:space="preserve">and trends with customer contact </w:t>
            </w:r>
            <w:r w:rsidR="00ED0958" w:rsidRPr="00B46D51">
              <w:rPr>
                <w:rFonts w:ascii="Times New Roman" w:hAnsi="Times New Roman"/>
                <w:color w:val="404040"/>
                <w:sz w:val="20"/>
                <w:szCs w:val="20"/>
              </w:rPr>
              <w:t xml:space="preserve">on a monthly basis. </w:t>
            </w:r>
            <w:r w:rsidR="00514C95">
              <w:rPr>
                <w:rFonts w:ascii="Times New Roman" w:hAnsi="Times New Roman"/>
                <w:color w:val="404040"/>
                <w:sz w:val="20"/>
                <w:szCs w:val="20"/>
              </w:rPr>
              <w:t xml:space="preserve">Provide quarterly executive summaries to </w:t>
            </w:r>
            <w:r w:rsidR="00EE6F45">
              <w:rPr>
                <w:rFonts w:ascii="Times New Roman" w:hAnsi="Times New Roman"/>
                <w:color w:val="404040"/>
                <w:sz w:val="20"/>
                <w:szCs w:val="20"/>
              </w:rPr>
              <w:t xml:space="preserve">communicate community impact to </w:t>
            </w:r>
            <w:r w:rsidR="00514C95">
              <w:rPr>
                <w:rFonts w:ascii="Times New Roman" w:hAnsi="Times New Roman"/>
                <w:color w:val="404040"/>
                <w:sz w:val="20"/>
                <w:szCs w:val="20"/>
              </w:rPr>
              <w:t>organizational leadership.</w:t>
            </w:r>
          </w:p>
          <w:p w14:paraId="55B3378C" w14:textId="733E7704" w:rsidR="009219FE" w:rsidRPr="00D84163" w:rsidRDefault="00C42742" w:rsidP="004C2D7F">
            <w:pPr>
              <w:pStyle w:val="MediumGrid1-Accent21"/>
              <w:spacing w:before="240" w:after="120" w:line="288" w:lineRule="auto"/>
              <w:ind w:left="0"/>
              <w:contextualSpacing w:val="0"/>
              <w:rPr>
                <w:rFonts w:ascii="Times New Roman" w:hAnsi="Times New Roman"/>
                <w:b/>
                <w:i/>
                <w:color w:val="404040"/>
                <w:sz w:val="20"/>
                <w:szCs w:val="20"/>
              </w:rPr>
            </w:pPr>
            <w:r w:rsidRPr="00D84163">
              <w:rPr>
                <w:rFonts w:ascii="Times New Roman" w:hAnsi="Times New Roman"/>
                <w:b/>
                <w:i/>
                <w:color w:val="404040"/>
                <w:sz w:val="20"/>
                <w:szCs w:val="20"/>
              </w:rPr>
              <w:t>Service Assumptions &amp; Requirements:</w:t>
            </w:r>
          </w:p>
          <w:p w14:paraId="369A2910" w14:textId="1DCC455B" w:rsidR="00EE6F45" w:rsidRPr="00EE6F45" w:rsidRDefault="00EE6F45" w:rsidP="007B376A">
            <w:pPr>
              <w:pStyle w:val="MediumGrid1-Accent21"/>
              <w:numPr>
                <w:ilvl w:val="0"/>
                <w:numId w:val="21"/>
              </w:numPr>
              <w:spacing w:before="60" w:after="0" w:line="288" w:lineRule="auto"/>
              <w:ind w:left="720"/>
              <w:contextualSpacing w:val="0"/>
              <w:rPr>
                <w:rFonts w:ascii="Times New Roman" w:hAnsi="Times New Roman"/>
                <w:b/>
                <w:bCs/>
                <w:color w:val="404040"/>
                <w:sz w:val="20"/>
                <w:szCs w:val="20"/>
              </w:rPr>
            </w:pPr>
            <w:r w:rsidRPr="003B2EAC">
              <w:rPr>
                <w:rFonts w:ascii="Times New Roman" w:hAnsi="Times New Roman"/>
                <w:color w:val="404040"/>
                <w:sz w:val="20"/>
                <w:szCs w:val="20"/>
              </w:rPr>
              <w:t xml:space="preserve">The Higher Logic community manager’s planning and execution will be focused on the online space that will have the highest impact for </w:t>
            </w:r>
            <w:proofErr w:type="gramStart"/>
            <w:r w:rsidRPr="003B2EAC">
              <w:rPr>
                <w:rFonts w:ascii="Times New Roman" w:hAnsi="Times New Roman"/>
                <w:color w:val="404040"/>
                <w:sz w:val="20"/>
                <w:szCs w:val="20"/>
              </w:rPr>
              <w:t>the most</w:t>
            </w:r>
            <w:proofErr w:type="gramEnd"/>
            <w:r w:rsidRPr="003B2EAC">
              <w:rPr>
                <w:rFonts w:ascii="Times New Roman" w:hAnsi="Times New Roman"/>
                <w:color w:val="404040"/>
                <w:sz w:val="20"/>
                <w:szCs w:val="20"/>
              </w:rPr>
              <w:t xml:space="preserve"> number of users, </w:t>
            </w:r>
            <w:r w:rsidR="008E176A">
              <w:rPr>
                <w:rFonts w:ascii="Times New Roman" w:hAnsi="Times New Roman"/>
                <w:color w:val="404040"/>
                <w:sz w:val="20"/>
                <w:szCs w:val="20"/>
              </w:rPr>
              <w:t>typically</w:t>
            </w:r>
            <w:r w:rsidRPr="003B2EAC">
              <w:rPr>
                <w:rFonts w:ascii="Times New Roman" w:hAnsi="Times New Roman"/>
                <w:color w:val="404040"/>
                <w:sz w:val="20"/>
                <w:szCs w:val="20"/>
              </w:rPr>
              <w:t xml:space="preserve"> the open forum or all</w:t>
            </w:r>
            <w:r w:rsidR="008E176A">
              <w:rPr>
                <w:rFonts w:ascii="Times New Roman" w:hAnsi="Times New Roman"/>
                <w:color w:val="404040"/>
                <w:sz w:val="20"/>
                <w:szCs w:val="20"/>
              </w:rPr>
              <w:t>-</w:t>
            </w:r>
            <w:r w:rsidRPr="003B2EAC">
              <w:rPr>
                <w:rFonts w:ascii="Times New Roman" w:hAnsi="Times New Roman"/>
                <w:color w:val="404040"/>
                <w:sz w:val="20"/>
                <w:szCs w:val="20"/>
              </w:rPr>
              <w:t>member community</w:t>
            </w:r>
            <w:r w:rsidR="008E176A">
              <w:rPr>
                <w:rFonts w:ascii="Times New Roman" w:hAnsi="Times New Roman"/>
                <w:color w:val="404040"/>
                <w:sz w:val="20"/>
                <w:szCs w:val="20"/>
              </w:rPr>
              <w:t>, or otherwise agreed-upon primary community.</w:t>
            </w:r>
            <w:r w:rsidRPr="003B2EAC">
              <w:rPr>
                <w:rFonts w:ascii="Times New Roman" w:hAnsi="Times New Roman"/>
                <w:color w:val="404040"/>
                <w:sz w:val="20"/>
                <w:szCs w:val="20"/>
              </w:rPr>
              <w:t xml:space="preserve"> In cases where more segmentation is required, the Higher Logic Community Manager will provide high level guidance that can be extended across smaller forums, and the planning and execution will be owned by the customer point of contact.</w:t>
            </w:r>
          </w:p>
          <w:p w14:paraId="5766E0A2" w14:textId="77777777" w:rsidR="00445ABD" w:rsidRPr="00B46D51" w:rsidRDefault="00445ABD" w:rsidP="007B376A">
            <w:pPr>
              <w:pStyle w:val="MediumGrid1-Accent21"/>
              <w:numPr>
                <w:ilvl w:val="0"/>
                <w:numId w:val="19"/>
              </w:numPr>
              <w:spacing w:before="60" w:after="0" w:line="288" w:lineRule="auto"/>
              <w:contextualSpacing w:val="0"/>
              <w:rPr>
                <w:rFonts w:ascii="Times New Roman" w:hAnsi="Times New Roman"/>
                <w:color w:val="404040"/>
                <w:sz w:val="20"/>
                <w:szCs w:val="20"/>
              </w:rPr>
            </w:pPr>
            <w:r w:rsidRPr="00B46D51">
              <w:rPr>
                <w:rFonts w:ascii="Times New Roman" w:hAnsi="Times New Roman"/>
                <w:color w:val="404040"/>
                <w:sz w:val="20"/>
                <w:szCs w:val="20"/>
              </w:rPr>
              <w:t xml:space="preserve">If Higher Logic service provider is to be end-user facing, client will furnish service provider with an email address on organization’s domain. </w:t>
            </w:r>
          </w:p>
          <w:p w14:paraId="20C47A79" w14:textId="34878938" w:rsidR="00B46D51" w:rsidRPr="00B46D51" w:rsidRDefault="00822092" w:rsidP="00CC6BAC">
            <w:pPr>
              <w:pStyle w:val="MediumGrid1-Accent21"/>
              <w:numPr>
                <w:ilvl w:val="0"/>
                <w:numId w:val="19"/>
              </w:numPr>
              <w:spacing w:before="60" w:after="0" w:line="288" w:lineRule="auto"/>
              <w:contextualSpacing w:val="0"/>
              <w:rPr>
                <w:rFonts w:ascii="Times New Roman" w:hAnsi="Times New Roman"/>
                <w:color w:val="404040"/>
                <w:sz w:val="20"/>
                <w:szCs w:val="20"/>
              </w:rPr>
            </w:pPr>
            <w:r>
              <w:rPr>
                <w:rFonts w:ascii="Times New Roman" w:hAnsi="Times New Roman"/>
                <w:color w:val="404040"/>
                <w:sz w:val="20"/>
                <w:szCs w:val="20"/>
              </w:rPr>
              <w:t>Any travel and accommodation expenses for onsite visits, including i</w:t>
            </w:r>
            <w:r w:rsidR="005A0E9D">
              <w:rPr>
                <w:rFonts w:ascii="Times New Roman" w:hAnsi="Times New Roman"/>
                <w:color w:val="404040"/>
                <w:sz w:val="20"/>
                <w:szCs w:val="20"/>
              </w:rPr>
              <w:t>nitial strategy session</w:t>
            </w:r>
            <w:r>
              <w:rPr>
                <w:rFonts w:ascii="Times New Roman" w:hAnsi="Times New Roman"/>
                <w:color w:val="404040"/>
                <w:sz w:val="20"/>
                <w:szCs w:val="20"/>
              </w:rPr>
              <w:t>,</w:t>
            </w:r>
            <w:r w:rsidR="005A0E9D">
              <w:rPr>
                <w:rFonts w:ascii="Times New Roman" w:hAnsi="Times New Roman"/>
                <w:color w:val="404040"/>
                <w:sz w:val="20"/>
                <w:szCs w:val="20"/>
              </w:rPr>
              <w:t xml:space="preserve"> to be </w:t>
            </w:r>
            <w:r>
              <w:rPr>
                <w:rFonts w:ascii="Times New Roman" w:hAnsi="Times New Roman"/>
                <w:color w:val="404040"/>
                <w:sz w:val="20"/>
                <w:szCs w:val="20"/>
              </w:rPr>
              <w:t>paid</w:t>
            </w:r>
            <w:r w:rsidR="005A0E9D">
              <w:rPr>
                <w:rFonts w:ascii="Times New Roman" w:hAnsi="Times New Roman"/>
                <w:color w:val="404040"/>
                <w:sz w:val="20"/>
                <w:szCs w:val="20"/>
              </w:rPr>
              <w:t xml:space="preserve"> by client. Higher Logic will work with client to ensure flights and hotel are with client’s preferred providers and within reasonabl</w:t>
            </w:r>
            <w:r w:rsidR="00B2585B">
              <w:rPr>
                <w:rFonts w:ascii="Times New Roman" w:hAnsi="Times New Roman"/>
                <w:color w:val="404040"/>
                <w:sz w:val="20"/>
                <w:szCs w:val="20"/>
              </w:rPr>
              <w:t>e</w:t>
            </w:r>
            <w:r w:rsidR="005A0E9D">
              <w:rPr>
                <w:rFonts w:ascii="Times New Roman" w:hAnsi="Times New Roman"/>
                <w:color w:val="404040"/>
                <w:sz w:val="20"/>
                <w:szCs w:val="20"/>
              </w:rPr>
              <w:t xml:space="preserve"> rates. </w:t>
            </w:r>
            <w:r w:rsidRPr="00B46D51">
              <w:rPr>
                <w:rFonts w:ascii="Times New Roman" w:hAnsi="Times New Roman"/>
                <w:color w:val="404040"/>
                <w:sz w:val="20"/>
                <w:szCs w:val="20"/>
              </w:rPr>
              <w:t>Time at Subscriber offices or</w:t>
            </w:r>
            <w:r>
              <w:rPr>
                <w:rFonts w:ascii="Times New Roman" w:hAnsi="Times New Roman"/>
                <w:color w:val="404040"/>
                <w:sz w:val="20"/>
                <w:szCs w:val="20"/>
              </w:rPr>
              <w:t xml:space="preserve"> events outside of the initial s</w:t>
            </w:r>
            <w:r w:rsidRPr="00B46D51">
              <w:rPr>
                <w:rFonts w:ascii="Times New Roman" w:hAnsi="Times New Roman"/>
                <w:color w:val="404040"/>
                <w:sz w:val="20"/>
                <w:szCs w:val="20"/>
              </w:rPr>
              <w:t>trategy on-site meeting will be billed at a rate of $200/hour.</w:t>
            </w:r>
          </w:p>
          <w:p w14:paraId="2C9B42B5" w14:textId="77777777" w:rsidR="00B46D51" w:rsidRPr="00B46D51" w:rsidRDefault="00B46D51" w:rsidP="00D82228">
            <w:pPr>
              <w:pStyle w:val="MediumGrid1-Accent21"/>
              <w:numPr>
                <w:ilvl w:val="0"/>
                <w:numId w:val="19"/>
              </w:numPr>
              <w:spacing w:before="60" w:after="0" w:line="288" w:lineRule="auto"/>
              <w:contextualSpacing w:val="0"/>
              <w:rPr>
                <w:rFonts w:ascii="Times New Roman" w:hAnsi="Times New Roman"/>
                <w:color w:val="404040"/>
                <w:sz w:val="20"/>
                <w:szCs w:val="20"/>
              </w:rPr>
            </w:pPr>
            <w:r w:rsidRPr="00B46D51">
              <w:rPr>
                <w:rFonts w:ascii="Times New Roman" w:hAnsi="Times New Roman"/>
                <w:color w:val="404040"/>
                <w:sz w:val="20"/>
                <w:szCs w:val="20"/>
              </w:rPr>
              <w:t xml:space="preserve">Services will be performed by Higher Logic remotely. The Subscriber acknowledges that Higher Logic may provide the Services from any of Higher Logic’s locations of operation. </w:t>
            </w:r>
          </w:p>
          <w:p w14:paraId="5B5AEFEC" w14:textId="7BF4BCDE" w:rsidR="00B46D51" w:rsidRDefault="00B46D51" w:rsidP="00D82228">
            <w:pPr>
              <w:pStyle w:val="MediumGrid1-Accent21"/>
              <w:numPr>
                <w:ilvl w:val="0"/>
                <w:numId w:val="19"/>
              </w:numPr>
              <w:spacing w:before="60" w:after="0" w:line="288" w:lineRule="auto"/>
              <w:contextualSpacing w:val="0"/>
              <w:rPr>
                <w:rFonts w:ascii="Times New Roman" w:hAnsi="Times New Roman"/>
                <w:color w:val="404040"/>
                <w:sz w:val="20"/>
                <w:szCs w:val="20"/>
              </w:rPr>
            </w:pPr>
            <w:r w:rsidRPr="00B46D51">
              <w:rPr>
                <w:rFonts w:ascii="Times New Roman" w:hAnsi="Times New Roman"/>
                <w:color w:val="404040"/>
                <w:sz w:val="20"/>
                <w:szCs w:val="20"/>
              </w:rPr>
              <w:t xml:space="preserve">Services will be performed from Monday to Friday during </w:t>
            </w:r>
            <w:r w:rsidR="00DC7023">
              <w:rPr>
                <w:rFonts w:ascii="Times New Roman" w:hAnsi="Times New Roman"/>
                <w:color w:val="404040"/>
                <w:sz w:val="20"/>
                <w:szCs w:val="20"/>
              </w:rPr>
              <w:t xml:space="preserve">Higher Logic’s </w:t>
            </w:r>
            <w:hyperlink r:id="rId10" w:history="1">
              <w:r w:rsidR="00DC7023" w:rsidRPr="00475B20">
                <w:rPr>
                  <w:rStyle w:val="Hyperlink"/>
                  <w:rFonts w:ascii="Times New Roman" w:hAnsi="Times New Roman"/>
                  <w:sz w:val="20"/>
                  <w:szCs w:val="20"/>
                </w:rPr>
                <w:t>regular business hours</w:t>
              </w:r>
            </w:hyperlink>
            <w:r w:rsidR="00DC7023" w:rsidRPr="00B46D51">
              <w:rPr>
                <w:rFonts w:ascii="Times New Roman" w:hAnsi="Times New Roman"/>
                <w:color w:val="404040"/>
                <w:sz w:val="20"/>
                <w:szCs w:val="20"/>
              </w:rPr>
              <w:t xml:space="preserve">. </w:t>
            </w:r>
            <w:r w:rsidRPr="00B46D51">
              <w:rPr>
                <w:rFonts w:ascii="Times New Roman" w:hAnsi="Times New Roman"/>
                <w:color w:val="404040"/>
                <w:sz w:val="20"/>
                <w:szCs w:val="20"/>
              </w:rPr>
              <w:t>Alternative arrangements must be mutually agreed upon, in writing, by both the Subscriber and Higher Logic.</w:t>
            </w:r>
          </w:p>
          <w:p w14:paraId="4AB3063A" w14:textId="233432A3" w:rsidR="00C54D7A" w:rsidRDefault="00A87B50" w:rsidP="007B376A">
            <w:pPr>
              <w:pStyle w:val="MediumGrid1-Accent21"/>
              <w:numPr>
                <w:ilvl w:val="0"/>
                <w:numId w:val="19"/>
              </w:numPr>
              <w:spacing w:before="60" w:after="0" w:line="288" w:lineRule="auto"/>
              <w:contextualSpacing w:val="0"/>
              <w:rPr>
                <w:rFonts w:ascii="Times New Roman" w:hAnsi="Times New Roman"/>
                <w:color w:val="404040"/>
                <w:sz w:val="20"/>
                <w:szCs w:val="20"/>
              </w:rPr>
            </w:pPr>
            <w:r>
              <w:rPr>
                <w:rFonts w:ascii="Times New Roman" w:hAnsi="Times New Roman"/>
                <w:color w:val="404040"/>
                <w:sz w:val="20"/>
                <w:szCs w:val="20"/>
              </w:rPr>
              <w:t>Subscriber will p</w:t>
            </w:r>
            <w:r w:rsidR="00C54D7A" w:rsidRPr="00C54D7A">
              <w:rPr>
                <w:rFonts w:ascii="Times New Roman" w:hAnsi="Times New Roman"/>
                <w:color w:val="404040"/>
                <w:sz w:val="20"/>
                <w:szCs w:val="20"/>
              </w:rPr>
              <w:t xml:space="preserve">rovide Higher Logic with no fewer than </w:t>
            </w:r>
            <w:r w:rsidR="00C54D7A">
              <w:rPr>
                <w:rFonts w:ascii="Times New Roman" w:hAnsi="Times New Roman"/>
                <w:color w:val="404040"/>
                <w:sz w:val="20"/>
                <w:szCs w:val="20"/>
              </w:rPr>
              <w:t>two</w:t>
            </w:r>
            <w:r w:rsidR="00C54D7A" w:rsidRPr="00C54D7A">
              <w:rPr>
                <w:rFonts w:ascii="Times New Roman" w:hAnsi="Times New Roman"/>
                <w:color w:val="404040"/>
                <w:sz w:val="20"/>
                <w:szCs w:val="20"/>
              </w:rPr>
              <w:t xml:space="preserve"> </w:t>
            </w:r>
            <w:r w:rsidR="00C54D7A">
              <w:rPr>
                <w:rFonts w:ascii="Times New Roman" w:hAnsi="Times New Roman"/>
                <w:color w:val="404040"/>
                <w:sz w:val="20"/>
                <w:szCs w:val="20"/>
              </w:rPr>
              <w:t>(2</w:t>
            </w:r>
            <w:r w:rsidR="00C54D7A" w:rsidRPr="00C54D7A">
              <w:rPr>
                <w:rFonts w:ascii="Times New Roman" w:hAnsi="Times New Roman"/>
                <w:color w:val="404040"/>
                <w:sz w:val="20"/>
                <w:szCs w:val="20"/>
              </w:rPr>
              <w:t>) business days’ notice for any scheduled meetings. Higher Logic will make exc</w:t>
            </w:r>
            <w:r w:rsidR="00DC7023">
              <w:rPr>
                <w:rFonts w:ascii="Times New Roman" w:hAnsi="Times New Roman"/>
                <w:color w:val="404040"/>
                <w:sz w:val="20"/>
                <w:szCs w:val="20"/>
              </w:rPr>
              <w:t>eptions on a case-by-case basis.</w:t>
            </w:r>
          </w:p>
          <w:p w14:paraId="24876E82" w14:textId="6460B4B3" w:rsidR="007B376A" w:rsidRPr="007B376A" w:rsidRDefault="007B376A" w:rsidP="00BA529F">
            <w:pPr>
              <w:pStyle w:val="MediumGrid1-Accent21"/>
              <w:numPr>
                <w:ilvl w:val="0"/>
                <w:numId w:val="19"/>
              </w:numPr>
              <w:spacing w:before="60" w:after="0" w:line="288" w:lineRule="auto"/>
              <w:contextualSpacing w:val="0"/>
              <w:rPr>
                <w:rFonts w:ascii="Times New Roman" w:hAnsi="Times New Roman"/>
                <w:color w:val="404040"/>
                <w:sz w:val="20"/>
                <w:szCs w:val="20"/>
              </w:rPr>
            </w:pPr>
            <w:r w:rsidRPr="007B376A">
              <w:rPr>
                <w:rFonts w:ascii="Times New Roman" w:hAnsi="Times New Roman"/>
                <w:color w:val="404040"/>
                <w:sz w:val="20"/>
                <w:szCs w:val="20"/>
              </w:rPr>
              <w:t xml:space="preserve">Higher Logic is dedicated to providing a safe and respectful workplace for our employees. We are also committed to communicating with you in a respectful, professional, and civil manner. Similarly, we ask you to extend the same courtesy to our staff. We expect that all individuals communicating with our staff will refrain from using abusive or aggressive language and/or behavior. </w:t>
            </w:r>
          </w:p>
          <w:p w14:paraId="5102C293" w14:textId="77777777" w:rsidR="00D84163" w:rsidRPr="00D84163" w:rsidRDefault="00D84163" w:rsidP="00BA529F">
            <w:pPr>
              <w:pStyle w:val="MediumGrid1-Accent21"/>
              <w:spacing w:before="200" w:after="120" w:line="288" w:lineRule="auto"/>
              <w:ind w:left="0"/>
              <w:contextualSpacing w:val="0"/>
              <w:rPr>
                <w:rFonts w:ascii="Times New Roman" w:hAnsi="Times New Roman"/>
                <w:b/>
                <w:i/>
                <w:color w:val="404040"/>
                <w:sz w:val="20"/>
                <w:szCs w:val="20"/>
              </w:rPr>
            </w:pPr>
            <w:r w:rsidRPr="00D84163">
              <w:rPr>
                <w:rFonts w:ascii="Times New Roman" w:hAnsi="Times New Roman"/>
                <w:b/>
                <w:i/>
                <w:color w:val="404040"/>
                <w:sz w:val="20"/>
                <w:szCs w:val="20"/>
              </w:rPr>
              <w:t xml:space="preserve">Out of Scope </w:t>
            </w:r>
            <w:r w:rsidR="004C2D7F">
              <w:rPr>
                <w:rFonts w:ascii="Times New Roman" w:hAnsi="Times New Roman"/>
                <w:b/>
                <w:i/>
                <w:color w:val="404040"/>
                <w:sz w:val="20"/>
                <w:szCs w:val="20"/>
              </w:rPr>
              <w:softHyphen/>
            </w:r>
            <w:r w:rsidRPr="00D84163">
              <w:rPr>
                <w:rFonts w:ascii="Times New Roman" w:hAnsi="Times New Roman"/>
                <w:b/>
                <w:i/>
                <w:color w:val="404040"/>
                <w:sz w:val="20"/>
                <w:szCs w:val="20"/>
              </w:rPr>
              <w:t xml:space="preserve">Services: </w:t>
            </w:r>
          </w:p>
          <w:p w14:paraId="71EF63A1" w14:textId="77777777" w:rsidR="00B46D51" w:rsidRPr="00FF1C85" w:rsidRDefault="00B46D51" w:rsidP="00330BC4">
            <w:pPr>
              <w:pStyle w:val="MediumGrid1-Accent21"/>
              <w:spacing w:before="120" w:after="120" w:line="288" w:lineRule="auto"/>
              <w:ind w:left="0"/>
              <w:contextualSpacing w:val="0"/>
              <w:rPr>
                <w:rFonts w:ascii="Times New Roman" w:hAnsi="Times New Roman"/>
                <w:color w:val="404040"/>
                <w:sz w:val="20"/>
                <w:szCs w:val="20"/>
              </w:rPr>
            </w:pPr>
            <w:r w:rsidRPr="00FF1C85">
              <w:rPr>
                <w:rFonts w:ascii="Times New Roman" w:hAnsi="Times New Roman"/>
                <w:color w:val="404040"/>
                <w:sz w:val="20"/>
                <w:szCs w:val="20"/>
              </w:rPr>
              <w:t>The Subscriber acknowledges that the following activities are not within the Scope of Se</w:t>
            </w:r>
            <w:r w:rsidR="004C2D7F">
              <w:rPr>
                <w:rFonts w:ascii="Times New Roman" w:hAnsi="Times New Roman"/>
                <w:color w:val="404040"/>
                <w:sz w:val="20"/>
                <w:szCs w:val="20"/>
              </w:rPr>
              <w:softHyphen/>
            </w:r>
            <w:r w:rsidRPr="00FF1C85">
              <w:rPr>
                <w:rFonts w:ascii="Times New Roman" w:hAnsi="Times New Roman"/>
                <w:color w:val="404040"/>
                <w:sz w:val="20"/>
                <w:szCs w:val="20"/>
              </w:rPr>
              <w:t>rvices of this Agreement:</w:t>
            </w:r>
          </w:p>
          <w:p w14:paraId="07CE1CB7" w14:textId="77777777" w:rsidR="00B46D51" w:rsidRPr="00330BC4" w:rsidRDefault="00FF1C85" w:rsidP="008E176A">
            <w:pPr>
              <w:pStyle w:val="MediumGrid1-Accent21"/>
              <w:numPr>
                <w:ilvl w:val="0"/>
                <w:numId w:val="22"/>
              </w:numPr>
              <w:spacing w:before="60" w:after="0" w:line="288" w:lineRule="auto"/>
              <w:contextualSpacing w:val="0"/>
              <w:rPr>
                <w:rFonts w:ascii="Times New Roman" w:hAnsi="Times New Roman"/>
                <w:color w:val="404040"/>
                <w:sz w:val="20"/>
                <w:szCs w:val="20"/>
              </w:rPr>
            </w:pPr>
            <w:r>
              <w:rPr>
                <w:rFonts w:ascii="Times New Roman" w:hAnsi="Times New Roman"/>
                <w:color w:val="404040"/>
                <w:sz w:val="20"/>
                <w:szCs w:val="20"/>
              </w:rPr>
              <w:lastRenderedPageBreak/>
              <w:t>M</w:t>
            </w:r>
            <w:r w:rsidR="00166F08" w:rsidRPr="00B46D51">
              <w:rPr>
                <w:rFonts w:ascii="Times New Roman" w:hAnsi="Times New Roman"/>
                <w:color w:val="404040"/>
                <w:sz w:val="20"/>
                <w:szCs w:val="20"/>
              </w:rPr>
              <w:t>anagement, end-user support, administration and facilitation of any and all applicable add-on modules, including but not limited to Microsites, Volunteer Manager, Mentor Match, Nested Communities, Group Manager, Events Manager, Workspace, Marketing Automation, Email Marketing, et cetera, except when outlined within the Agreement’s Scope of Services, or outlined within a separate Services agreement.</w:t>
            </w:r>
          </w:p>
          <w:p w14:paraId="5E3DA692" w14:textId="75E5325E" w:rsidR="008E176A" w:rsidRPr="008E176A" w:rsidRDefault="008E176A" w:rsidP="008E176A">
            <w:pPr>
              <w:pStyle w:val="MediumGrid1-Accent21"/>
              <w:numPr>
                <w:ilvl w:val="0"/>
                <w:numId w:val="22"/>
              </w:numPr>
              <w:spacing w:before="60" w:after="0" w:line="288" w:lineRule="auto"/>
              <w:contextualSpacing w:val="0"/>
              <w:rPr>
                <w:rFonts w:ascii="Times New Roman" w:hAnsi="Times New Roman"/>
                <w:color w:val="404040"/>
                <w:sz w:val="20"/>
                <w:szCs w:val="20"/>
              </w:rPr>
            </w:pPr>
            <w:r w:rsidRPr="008E176A">
              <w:rPr>
                <w:rFonts w:ascii="Times New Roman" w:hAnsi="Times New Roman"/>
                <w:color w:val="404040"/>
                <w:sz w:val="20"/>
                <w:szCs w:val="20"/>
              </w:rPr>
              <w:t xml:space="preserve">Creation and ongoing management of a content calendar, engagement tactics, and moderation for </w:t>
            </w:r>
            <w:r>
              <w:rPr>
                <w:rFonts w:ascii="Times New Roman" w:hAnsi="Times New Roman"/>
                <w:color w:val="404040"/>
                <w:sz w:val="20"/>
                <w:szCs w:val="20"/>
              </w:rPr>
              <w:t>communities outside of agreed-upon primary community.</w:t>
            </w:r>
          </w:p>
          <w:p w14:paraId="09304A76" w14:textId="274234C2" w:rsidR="00B46D51" w:rsidRPr="00FF1C85" w:rsidRDefault="00B46D51" w:rsidP="00CC6BAC">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Graphic design, site redesigns, ad creation</w:t>
            </w:r>
            <w:r w:rsidR="00E52A93">
              <w:rPr>
                <w:rFonts w:ascii="Times New Roman" w:hAnsi="Times New Roman"/>
                <w:color w:val="404040"/>
                <w:sz w:val="20"/>
                <w:szCs w:val="20"/>
              </w:rPr>
              <w:t>, web design</w:t>
            </w:r>
            <w:r w:rsidR="00D82228">
              <w:rPr>
                <w:rFonts w:ascii="Times New Roman" w:hAnsi="Times New Roman"/>
                <w:color w:val="404040"/>
                <w:sz w:val="20"/>
                <w:szCs w:val="20"/>
              </w:rPr>
              <w:t>, email design</w:t>
            </w:r>
            <w:r w:rsidRPr="00FF1C85">
              <w:rPr>
                <w:rFonts w:ascii="Times New Roman" w:hAnsi="Times New Roman"/>
                <w:color w:val="404040"/>
                <w:sz w:val="20"/>
                <w:szCs w:val="20"/>
              </w:rPr>
              <w:t xml:space="preserve"> or other major visual updates to your Higher Logic platform, unless outlined within the Agreement’s Scope of Services, or outlined within a separate Services agreement.</w:t>
            </w:r>
          </w:p>
          <w:p w14:paraId="0C1ECB6D" w14:textId="6F877DC7" w:rsidR="00B46D51" w:rsidRDefault="00B46D51" w:rsidP="00CC6BAC">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Creation of custom materials spanning Subscriber industry subject matter, including but not limited to white papers or research documents.</w:t>
            </w:r>
          </w:p>
          <w:p w14:paraId="3BF12997" w14:textId="12EFC8B4" w:rsidR="008E176A" w:rsidRPr="008E176A" w:rsidRDefault="008E176A" w:rsidP="008E176A">
            <w:pPr>
              <w:pStyle w:val="MediumGrid1-Accent21"/>
              <w:numPr>
                <w:ilvl w:val="0"/>
                <w:numId w:val="22"/>
              </w:numPr>
              <w:spacing w:before="60" w:line="288" w:lineRule="auto"/>
              <w:rPr>
                <w:rFonts w:ascii="Times New Roman" w:hAnsi="Times New Roman"/>
                <w:color w:val="404040"/>
                <w:sz w:val="20"/>
                <w:szCs w:val="20"/>
              </w:rPr>
            </w:pPr>
            <w:r w:rsidRPr="008E176A">
              <w:rPr>
                <w:rFonts w:ascii="Times New Roman" w:hAnsi="Times New Roman"/>
                <w:color w:val="404040"/>
                <w:sz w:val="20"/>
                <w:szCs w:val="20"/>
              </w:rPr>
              <w:t>Original video creation, including screencasts, recordings of site demos, or webinars.</w:t>
            </w:r>
          </w:p>
          <w:p w14:paraId="146EDB55" w14:textId="77777777" w:rsidR="00B46D51" w:rsidRPr="00FF1C85" w:rsidRDefault="00B46D51" w:rsidP="00CC6BAC">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Custom software development requests, platform enhancements or add-on functionality.</w:t>
            </w:r>
          </w:p>
          <w:p w14:paraId="7BE11156" w14:textId="77777777" w:rsidR="00B46D51" w:rsidRPr="00FF1C85" w:rsidRDefault="00B46D51" w:rsidP="00CC6BAC">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Conference support, in-person meetings, on-site arrangements or travel requests, except as mutually agreed upon, in writing, by both the Subscriber and Higher Logic. Time at Subscriber offices or events outside of the initial strategy on-site meeting will be billed at a rate of $200/hour.</w:t>
            </w:r>
          </w:p>
          <w:p w14:paraId="0462F8B2" w14:textId="77777777" w:rsidR="00B46D51" w:rsidRPr="00FF1C85" w:rsidRDefault="00B46D51" w:rsidP="00CC6BAC">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Selection, coordination and contracting with third-party vendors.</w:t>
            </w:r>
          </w:p>
          <w:p w14:paraId="398862C6" w14:textId="77777777" w:rsidR="00445ABD" w:rsidRDefault="00B46D51" w:rsidP="00D2147B">
            <w:pPr>
              <w:pStyle w:val="MediumGrid1-Accent21"/>
              <w:numPr>
                <w:ilvl w:val="0"/>
                <w:numId w:val="22"/>
              </w:numPr>
              <w:spacing w:before="60" w:after="0" w:line="288" w:lineRule="auto"/>
              <w:contextualSpacing w:val="0"/>
              <w:rPr>
                <w:rFonts w:ascii="Times New Roman" w:hAnsi="Times New Roman"/>
                <w:color w:val="404040"/>
                <w:sz w:val="20"/>
                <w:szCs w:val="20"/>
              </w:rPr>
            </w:pPr>
            <w:r w:rsidRPr="00FF1C85">
              <w:rPr>
                <w:rFonts w:ascii="Times New Roman" w:hAnsi="Times New Roman"/>
                <w:color w:val="404040"/>
                <w:sz w:val="20"/>
                <w:szCs w:val="20"/>
              </w:rPr>
              <w:t>Business dealings, negotiations or material creation for the Subscriber’s internal department, investor or vendor meetings.</w:t>
            </w:r>
          </w:p>
          <w:p w14:paraId="5CA340C8" w14:textId="04CF7A61" w:rsidR="0071251C" w:rsidRPr="00D2147B" w:rsidRDefault="0071251C" w:rsidP="00D2147B">
            <w:pPr>
              <w:pStyle w:val="MediumGrid1-Accent21"/>
              <w:numPr>
                <w:ilvl w:val="0"/>
                <w:numId w:val="22"/>
              </w:numPr>
              <w:spacing w:before="60" w:after="0" w:line="288" w:lineRule="auto"/>
              <w:contextualSpacing w:val="0"/>
              <w:rPr>
                <w:rFonts w:ascii="Times New Roman" w:hAnsi="Times New Roman"/>
                <w:color w:val="404040"/>
                <w:sz w:val="20"/>
                <w:szCs w:val="20"/>
              </w:rPr>
            </w:pPr>
            <w:r w:rsidRPr="0071251C">
              <w:rPr>
                <w:rFonts w:ascii="Times New Roman" w:hAnsi="Times New Roman"/>
                <w:color w:val="404040"/>
                <w:sz w:val="20"/>
                <w:szCs w:val="20"/>
              </w:rPr>
              <w:t xml:space="preserve">Data </w:t>
            </w:r>
            <w:r>
              <w:rPr>
                <w:rFonts w:ascii="Times New Roman" w:hAnsi="Times New Roman"/>
                <w:color w:val="404040"/>
                <w:sz w:val="20"/>
                <w:szCs w:val="20"/>
              </w:rPr>
              <w:t xml:space="preserve">or content </w:t>
            </w:r>
            <w:r w:rsidRPr="0071251C">
              <w:rPr>
                <w:rFonts w:ascii="Times New Roman" w:hAnsi="Times New Roman"/>
                <w:color w:val="404040"/>
                <w:sz w:val="20"/>
                <w:szCs w:val="20"/>
              </w:rPr>
              <w:t xml:space="preserve">migration </w:t>
            </w:r>
            <w:r>
              <w:rPr>
                <w:rFonts w:ascii="Times New Roman" w:hAnsi="Times New Roman"/>
                <w:color w:val="404040"/>
                <w:sz w:val="20"/>
                <w:szCs w:val="20"/>
              </w:rPr>
              <w:t xml:space="preserve">or </w:t>
            </w:r>
            <w:r w:rsidRPr="0071251C">
              <w:rPr>
                <w:rFonts w:ascii="Times New Roman" w:hAnsi="Times New Roman"/>
                <w:color w:val="404040"/>
                <w:sz w:val="20"/>
                <w:szCs w:val="20"/>
              </w:rPr>
              <w:t>integration with third party platforms, except when outlined under a separate agreement.</w:t>
            </w:r>
          </w:p>
        </w:tc>
      </w:tr>
    </w:tbl>
    <w:p w14:paraId="59808A33" w14:textId="77777777" w:rsidR="009D0CB0" w:rsidRPr="00330BC4" w:rsidRDefault="009D0CB0" w:rsidP="009D0CB0">
      <w:pPr>
        <w:pStyle w:val="Heading1"/>
        <w:jc w:val="both"/>
        <w:rPr>
          <w:rFonts w:ascii="Times New Roman" w:hAnsi="Times New Roman"/>
          <w:sz w:val="20"/>
          <w:szCs w:val="20"/>
        </w:rPr>
      </w:pPr>
      <w:r w:rsidRPr="00330BC4">
        <w:rPr>
          <w:rFonts w:ascii="Times New Roman" w:hAnsi="Times New Roman"/>
          <w:sz w:val="20"/>
          <w:szCs w:val="20"/>
        </w:rPr>
        <w:lastRenderedPageBreak/>
        <w:t>Payment Milestones</w:t>
      </w:r>
    </w:p>
    <w:p w14:paraId="3342BBF1" w14:textId="77777777" w:rsidR="009D0CB0" w:rsidRPr="00B46D51" w:rsidRDefault="009D0CB0" w:rsidP="009D0CB0">
      <w:pPr>
        <w:autoSpaceDE w:val="0"/>
        <w:autoSpaceDN w:val="0"/>
        <w:adjustRightInd w:val="0"/>
        <w:jc w:val="both"/>
        <w:rPr>
          <w:rFonts w:ascii="Times New Roman" w:hAnsi="Times New Roman"/>
          <w:sz w:val="20"/>
          <w:szCs w:val="20"/>
        </w:rPr>
      </w:pPr>
      <w:r w:rsidRPr="00B46D51">
        <w:rPr>
          <w:rFonts w:ascii="Times New Roman" w:hAnsi="Times New Roman"/>
          <w:sz w:val="20"/>
          <w:szCs w:val="20"/>
        </w:rPr>
        <w:t>Payments are due to correspond with project milestones as follows: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710"/>
      </w:tblGrid>
      <w:tr w:rsidR="009D0CB0" w:rsidRPr="00B46D51" w14:paraId="36F1180E" w14:textId="77777777" w:rsidTr="007A15C6">
        <w:tc>
          <w:tcPr>
            <w:tcW w:w="7650" w:type="dxa"/>
            <w:tcBorders>
              <w:top w:val="single" w:sz="4" w:space="0" w:color="auto"/>
              <w:left w:val="single" w:sz="4" w:space="0" w:color="auto"/>
              <w:bottom w:val="single" w:sz="4" w:space="0" w:color="auto"/>
              <w:right w:val="single" w:sz="4" w:space="0" w:color="auto"/>
            </w:tcBorders>
          </w:tcPr>
          <w:p w14:paraId="2230D83B" w14:textId="626C17B5" w:rsidR="009D0CB0" w:rsidRPr="00B46D51" w:rsidRDefault="009C2D22" w:rsidP="00982ED1">
            <w:pPr>
              <w:autoSpaceDE w:val="0"/>
              <w:autoSpaceDN w:val="0"/>
              <w:adjustRightInd w:val="0"/>
              <w:jc w:val="both"/>
              <w:rPr>
                <w:rFonts w:ascii="Times New Roman" w:hAnsi="Times New Roman"/>
                <w:sz w:val="20"/>
                <w:szCs w:val="20"/>
              </w:rPr>
            </w:pPr>
            <w:r w:rsidRPr="00B46D51">
              <w:rPr>
                <w:rFonts w:ascii="Times New Roman" w:hAnsi="Times New Roman"/>
                <w:sz w:val="20"/>
                <w:szCs w:val="20"/>
              </w:rPr>
              <w:t>Annual service</w:t>
            </w:r>
            <w:r w:rsidR="009D0CB0" w:rsidRPr="00B46D51">
              <w:rPr>
                <w:rFonts w:ascii="Times New Roman" w:hAnsi="Times New Roman"/>
                <w:sz w:val="20"/>
                <w:szCs w:val="20"/>
              </w:rPr>
              <w:t xml:space="preserve"> fees to be paid at contract signature</w:t>
            </w:r>
          </w:p>
        </w:tc>
        <w:tc>
          <w:tcPr>
            <w:tcW w:w="1710" w:type="dxa"/>
            <w:tcBorders>
              <w:top w:val="single" w:sz="4" w:space="0" w:color="auto"/>
              <w:left w:val="single" w:sz="4" w:space="0" w:color="auto"/>
              <w:bottom w:val="single" w:sz="4" w:space="0" w:color="auto"/>
              <w:right w:val="single" w:sz="4" w:space="0" w:color="auto"/>
            </w:tcBorders>
          </w:tcPr>
          <w:p w14:paraId="46E41471" w14:textId="77777777" w:rsidR="009D0CB0" w:rsidRPr="005D07FE" w:rsidRDefault="009D0CB0" w:rsidP="00FF61EF">
            <w:pPr>
              <w:autoSpaceDE w:val="0"/>
              <w:autoSpaceDN w:val="0"/>
              <w:adjustRightInd w:val="0"/>
              <w:jc w:val="right"/>
              <w:rPr>
                <w:rFonts w:ascii="Times New Roman" w:hAnsi="Times New Roman"/>
                <w:b/>
                <w:sz w:val="20"/>
                <w:szCs w:val="20"/>
              </w:rPr>
            </w:pPr>
            <w:r w:rsidRPr="005D07FE">
              <w:rPr>
                <w:rFonts w:ascii="Times New Roman" w:hAnsi="Times New Roman"/>
                <w:b/>
                <w:sz w:val="20"/>
                <w:szCs w:val="20"/>
              </w:rPr>
              <w:t>$</w:t>
            </w:r>
            <w:r w:rsidR="00FF1C85" w:rsidRPr="005D07FE">
              <w:rPr>
                <w:rFonts w:ascii="Times New Roman" w:hAnsi="Times New Roman"/>
                <w:b/>
                <w:sz w:val="20"/>
                <w:szCs w:val="20"/>
              </w:rPr>
              <w:t>48,000</w:t>
            </w:r>
          </w:p>
        </w:tc>
      </w:tr>
      <w:tr w:rsidR="009D0CB0" w:rsidRPr="00B46D51" w14:paraId="764B4A43" w14:textId="77777777" w:rsidTr="00207A76">
        <w:trPr>
          <w:trHeight w:val="548"/>
        </w:trPr>
        <w:tc>
          <w:tcPr>
            <w:tcW w:w="9360" w:type="dxa"/>
            <w:gridSpan w:val="2"/>
            <w:tcBorders>
              <w:top w:val="single" w:sz="4" w:space="0" w:color="auto"/>
              <w:left w:val="single" w:sz="4" w:space="0" w:color="auto"/>
              <w:bottom w:val="single" w:sz="4" w:space="0" w:color="auto"/>
              <w:right w:val="single" w:sz="4" w:space="0" w:color="auto"/>
            </w:tcBorders>
          </w:tcPr>
          <w:p w14:paraId="30B3A199" w14:textId="6B20734F" w:rsidR="00982ED1" w:rsidRPr="00B46D51" w:rsidRDefault="00B46D51" w:rsidP="009D0CB0">
            <w:pPr>
              <w:autoSpaceDE w:val="0"/>
              <w:autoSpaceDN w:val="0"/>
              <w:adjustRightInd w:val="0"/>
              <w:jc w:val="both"/>
              <w:rPr>
                <w:rFonts w:ascii="Times New Roman" w:hAnsi="Times New Roman"/>
                <w:sz w:val="20"/>
                <w:szCs w:val="20"/>
              </w:rPr>
            </w:pPr>
            <w:r>
              <w:rPr>
                <w:rFonts w:ascii="Times New Roman" w:hAnsi="Times New Roman"/>
                <w:sz w:val="20"/>
                <w:szCs w:val="20"/>
              </w:rPr>
              <w:t xml:space="preserve">NOTE - </w:t>
            </w:r>
            <w:r w:rsidR="00C8522C" w:rsidRPr="00C8522C">
              <w:rPr>
                <w:rFonts w:ascii="Times New Roman" w:hAnsi="Times New Roman"/>
                <w:sz w:val="20"/>
                <w:szCs w:val="20"/>
              </w:rPr>
              <w:t xml:space="preserve">Services to be billed on an annual basis. Invoices are payable within 30 days of receipt. Services commence on contract </w:t>
            </w:r>
            <w:proofErr w:type="gramStart"/>
            <w:r w:rsidR="00C8522C" w:rsidRPr="00C8522C">
              <w:rPr>
                <w:rFonts w:ascii="Times New Roman" w:hAnsi="Times New Roman"/>
                <w:sz w:val="20"/>
                <w:szCs w:val="20"/>
              </w:rPr>
              <w:t>signature, and</w:t>
            </w:r>
            <w:proofErr w:type="gramEnd"/>
            <w:r w:rsidR="00C8522C" w:rsidRPr="00C8522C">
              <w:rPr>
                <w:rFonts w:ascii="Times New Roman" w:hAnsi="Times New Roman"/>
                <w:sz w:val="20"/>
                <w:szCs w:val="20"/>
              </w:rPr>
              <w:t xml:space="preserve"> will renew automatically on anniversary date. Any desired changes to service agreement or notice of non-renewal must be communicated in writing at least 60 days prior to renewal date.</w:t>
            </w:r>
          </w:p>
        </w:tc>
      </w:tr>
    </w:tbl>
    <w:p w14:paraId="2E747BA9" w14:textId="77777777" w:rsidR="009D0CB0" w:rsidRPr="005A0E9D" w:rsidRDefault="009D0CB0" w:rsidP="005A0E9D">
      <w:pPr>
        <w:rPr>
          <w:rFonts w:ascii="Times New Roman" w:hAnsi="Times New Roman"/>
          <w:sz w:val="20"/>
          <w:szCs w:val="20"/>
        </w:rPr>
      </w:pPr>
    </w:p>
    <w:sectPr w:rsidR="009D0CB0" w:rsidRPr="005A0E9D" w:rsidSect="00AB0313">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152"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5B7C" w14:textId="77777777" w:rsidR="0026008A" w:rsidRDefault="0026008A" w:rsidP="00740609">
      <w:pPr>
        <w:spacing w:after="0" w:line="240" w:lineRule="auto"/>
      </w:pPr>
      <w:r>
        <w:separator/>
      </w:r>
    </w:p>
  </w:endnote>
  <w:endnote w:type="continuationSeparator" w:id="0">
    <w:p w14:paraId="1342DEDD" w14:textId="77777777" w:rsidR="0026008A" w:rsidRDefault="0026008A" w:rsidP="0074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B929" w14:textId="77777777" w:rsidR="00740609" w:rsidRDefault="00740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D2AD" w14:textId="77777777" w:rsidR="00740609" w:rsidRDefault="00740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35F7" w14:textId="77777777" w:rsidR="00740609" w:rsidRDefault="0074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77CB" w14:textId="77777777" w:rsidR="0026008A" w:rsidRDefault="0026008A" w:rsidP="00740609">
      <w:pPr>
        <w:spacing w:after="0" w:line="240" w:lineRule="auto"/>
      </w:pPr>
      <w:r>
        <w:separator/>
      </w:r>
    </w:p>
  </w:footnote>
  <w:footnote w:type="continuationSeparator" w:id="0">
    <w:p w14:paraId="5BBAC0DE" w14:textId="77777777" w:rsidR="0026008A" w:rsidRDefault="0026008A" w:rsidP="0074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B99D" w14:textId="77777777" w:rsidR="00740609" w:rsidRDefault="00740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4E22" w14:textId="17628B47" w:rsidR="00740609" w:rsidRDefault="00740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E8C8" w14:textId="77777777" w:rsidR="00740609" w:rsidRDefault="00740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D0A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D0E4A"/>
    <w:multiLevelType w:val="hybridMultilevel"/>
    <w:tmpl w:val="A6B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4DB7"/>
    <w:multiLevelType w:val="multilevel"/>
    <w:tmpl w:val="5AE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C3B7B"/>
    <w:multiLevelType w:val="hybridMultilevel"/>
    <w:tmpl w:val="F9B4130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C0EAB"/>
    <w:multiLevelType w:val="multilevel"/>
    <w:tmpl w:val="CBDE9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506B6"/>
    <w:multiLevelType w:val="hybridMultilevel"/>
    <w:tmpl w:val="45B48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0901"/>
    <w:multiLevelType w:val="hybridMultilevel"/>
    <w:tmpl w:val="4F04C7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900DF"/>
    <w:multiLevelType w:val="hybridMultilevel"/>
    <w:tmpl w:val="4EF8CE6A"/>
    <w:lvl w:ilvl="0" w:tplc="EE387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01CF"/>
    <w:multiLevelType w:val="hybridMultilevel"/>
    <w:tmpl w:val="3F2E33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2C0F"/>
    <w:multiLevelType w:val="hybridMultilevel"/>
    <w:tmpl w:val="DE3C364E"/>
    <w:lvl w:ilvl="0" w:tplc="E49492F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8F2492"/>
    <w:multiLevelType w:val="multilevel"/>
    <w:tmpl w:val="C032DA86"/>
    <w:lvl w:ilvl="0">
      <w:start w:val="3"/>
      <w:numFmt w:val="decimal"/>
      <w:lvlText w:val="%1."/>
      <w:lvlJc w:val="left"/>
      <w:pPr>
        <w:ind w:left="360" w:hanging="360"/>
      </w:pPr>
      <w:rPr>
        <w:rFonts w:hint="default"/>
        <w:b/>
        <w:sz w:val="28"/>
        <w:szCs w:val="28"/>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3AB3176D"/>
    <w:multiLevelType w:val="hybridMultilevel"/>
    <w:tmpl w:val="654C8938"/>
    <w:lvl w:ilvl="0" w:tplc="6B9236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3F0294"/>
    <w:multiLevelType w:val="multilevel"/>
    <w:tmpl w:val="0B68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A124A"/>
    <w:multiLevelType w:val="hybridMultilevel"/>
    <w:tmpl w:val="449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56CC1"/>
    <w:multiLevelType w:val="hybridMultilevel"/>
    <w:tmpl w:val="CB6C8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63B50"/>
    <w:multiLevelType w:val="hybridMultilevel"/>
    <w:tmpl w:val="343EAF9E"/>
    <w:lvl w:ilvl="0" w:tplc="6B9236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E321E5"/>
    <w:multiLevelType w:val="hybridMultilevel"/>
    <w:tmpl w:val="1AD0EC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80EF6"/>
    <w:multiLevelType w:val="hybridMultilevel"/>
    <w:tmpl w:val="6FAC8B18"/>
    <w:lvl w:ilvl="0" w:tplc="E49492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241A3"/>
    <w:multiLevelType w:val="hybridMultilevel"/>
    <w:tmpl w:val="AC62D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CF4D30"/>
    <w:multiLevelType w:val="multilevel"/>
    <w:tmpl w:val="EE1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E0B70"/>
    <w:multiLevelType w:val="hybridMultilevel"/>
    <w:tmpl w:val="0446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F6516E"/>
    <w:multiLevelType w:val="hybridMultilevel"/>
    <w:tmpl w:val="0D6C571A"/>
    <w:lvl w:ilvl="0" w:tplc="133C46B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770F34"/>
    <w:multiLevelType w:val="hybridMultilevel"/>
    <w:tmpl w:val="EC46D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164A13"/>
    <w:multiLevelType w:val="hybridMultilevel"/>
    <w:tmpl w:val="EDE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84A03"/>
    <w:multiLevelType w:val="hybridMultilevel"/>
    <w:tmpl w:val="01F45150"/>
    <w:lvl w:ilvl="0" w:tplc="A6C0C07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8"/>
  </w:num>
  <w:num w:numId="4">
    <w:abstractNumId w:val="0"/>
  </w:num>
  <w:num w:numId="5">
    <w:abstractNumId w:val="4"/>
  </w:num>
  <w:num w:numId="6">
    <w:abstractNumId w:val="20"/>
  </w:num>
  <w:num w:numId="7">
    <w:abstractNumId w:val="13"/>
  </w:num>
  <w:num w:numId="8">
    <w:abstractNumId w:val="15"/>
  </w:num>
  <w:num w:numId="9">
    <w:abstractNumId w:val="11"/>
  </w:num>
  <w:num w:numId="10">
    <w:abstractNumId w:val="7"/>
  </w:num>
  <w:num w:numId="11">
    <w:abstractNumId w:val="21"/>
  </w:num>
  <w:num w:numId="12">
    <w:abstractNumId w:val="3"/>
  </w:num>
  <w:num w:numId="13">
    <w:abstractNumId w:val="9"/>
  </w:num>
  <w:num w:numId="14">
    <w:abstractNumId w:val="10"/>
  </w:num>
  <w:num w:numId="15">
    <w:abstractNumId w:val="5"/>
  </w:num>
  <w:num w:numId="16">
    <w:abstractNumId w:val="16"/>
  </w:num>
  <w:num w:numId="17">
    <w:abstractNumId w:val="17"/>
  </w:num>
  <w:num w:numId="18">
    <w:abstractNumId w:val="23"/>
  </w:num>
  <w:num w:numId="19">
    <w:abstractNumId w:val="14"/>
  </w:num>
  <w:num w:numId="20">
    <w:abstractNumId w:val="6"/>
  </w:num>
  <w:num w:numId="21">
    <w:abstractNumId w:val="22"/>
  </w:num>
  <w:num w:numId="22">
    <w:abstractNumId w:val="8"/>
  </w:num>
  <w:num w:numId="23">
    <w:abstractNumId w:val="12"/>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2C"/>
    <w:rsid w:val="00011BCF"/>
    <w:rsid w:val="0002200E"/>
    <w:rsid w:val="00053277"/>
    <w:rsid w:val="00067625"/>
    <w:rsid w:val="000E2580"/>
    <w:rsid w:val="000F0B26"/>
    <w:rsid w:val="00104721"/>
    <w:rsid w:val="00122637"/>
    <w:rsid w:val="00136927"/>
    <w:rsid w:val="00166F08"/>
    <w:rsid w:val="00192FF2"/>
    <w:rsid w:val="001E2EF3"/>
    <w:rsid w:val="001F1DE9"/>
    <w:rsid w:val="001F3767"/>
    <w:rsid w:val="00205D97"/>
    <w:rsid w:val="00207A76"/>
    <w:rsid w:val="002258EC"/>
    <w:rsid w:val="0026008A"/>
    <w:rsid w:val="00270048"/>
    <w:rsid w:val="002759FA"/>
    <w:rsid w:val="00283B3E"/>
    <w:rsid w:val="002A702C"/>
    <w:rsid w:val="002C52E2"/>
    <w:rsid w:val="002C5932"/>
    <w:rsid w:val="00320A04"/>
    <w:rsid w:val="00322900"/>
    <w:rsid w:val="00330BC4"/>
    <w:rsid w:val="0037562D"/>
    <w:rsid w:val="00394209"/>
    <w:rsid w:val="00396D2F"/>
    <w:rsid w:val="003A4A20"/>
    <w:rsid w:val="003B2EAC"/>
    <w:rsid w:val="003C1B8C"/>
    <w:rsid w:val="003C5821"/>
    <w:rsid w:val="00423D07"/>
    <w:rsid w:val="00424E8F"/>
    <w:rsid w:val="00445ABD"/>
    <w:rsid w:val="0048063F"/>
    <w:rsid w:val="004C2D7F"/>
    <w:rsid w:val="004C6B08"/>
    <w:rsid w:val="004E2E87"/>
    <w:rsid w:val="00505674"/>
    <w:rsid w:val="00514C95"/>
    <w:rsid w:val="00557E18"/>
    <w:rsid w:val="00561D8D"/>
    <w:rsid w:val="00575C27"/>
    <w:rsid w:val="00590CB2"/>
    <w:rsid w:val="005A0E9D"/>
    <w:rsid w:val="005A506B"/>
    <w:rsid w:val="005C42E0"/>
    <w:rsid w:val="005D07FE"/>
    <w:rsid w:val="0066323E"/>
    <w:rsid w:val="00681B43"/>
    <w:rsid w:val="006A570A"/>
    <w:rsid w:val="006B6987"/>
    <w:rsid w:val="0071251C"/>
    <w:rsid w:val="00740609"/>
    <w:rsid w:val="007505CC"/>
    <w:rsid w:val="007A15C6"/>
    <w:rsid w:val="007A617F"/>
    <w:rsid w:val="007A7763"/>
    <w:rsid w:val="007B376A"/>
    <w:rsid w:val="007F2174"/>
    <w:rsid w:val="008033A9"/>
    <w:rsid w:val="00814EC0"/>
    <w:rsid w:val="00822092"/>
    <w:rsid w:val="00825D7A"/>
    <w:rsid w:val="00842145"/>
    <w:rsid w:val="00871A81"/>
    <w:rsid w:val="008C2262"/>
    <w:rsid w:val="008D7C91"/>
    <w:rsid w:val="008E176A"/>
    <w:rsid w:val="00905A7F"/>
    <w:rsid w:val="009219FE"/>
    <w:rsid w:val="00934F81"/>
    <w:rsid w:val="00942789"/>
    <w:rsid w:val="00964AE4"/>
    <w:rsid w:val="0098198A"/>
    <w:rsid w:val="00982ED1"/>
    <w:rsid w:val="00993A6D"/>
    <w:rsid w:val="009C1005"/>
    <w:rsid w:val="009C2D22"/>
    <w:rsid w:val="009C4AE2"/>
    <w:rsid w:val="009C566F"/>
    <w:rsid w:val="009D0CB0"/>
    <w:rsid w:val="009E1E0A"/>
    <w:rsid w:val="00A4143B"/>
    <w:rsid w:val="00A56553"/>
    <w:rsid w:val="00A74820"/>
    <w:rsid w:val="00A87B50"/>
    <w:rsid w:val="00AA2EC7"/>
    <w:rsid w:val="00AB0313"/>
    <w:rsid w:val="00AB780C"/>
    <w:rsid w:val="00AE681A"/>
    <w:rsid w:val="00AF54F5"/>
    <w:rsid w:val="00B245B3"/>
    <w:rsid w:val="00B2585B"/>
    <w:rsid w:val="00B44D2E"/>
    <w:rsid w:val="00B46D51"/>
    <w:rsid w:val="00BA529F"/>
    <w:rsid w:val="00BB2F3F"/>
    <w:rsid w:val="00BF2722"/>
    <w:rsid w:val="00C20E9E"/>
    <w:rsid w:val="00C22BC5"/>
    <w:rsid w:val="00C4114E"/>
    <w:rsid w:val="00C42742"/>
    <w:rsid w:val="00C54D7A"/>
    <w:rsid w:val="00C66508"/>
    <w:rsid w:val="00C675C5"/>
    <w:rsid w:val="00C72146"/>
    <w:rsid w:val="00C8522C"/>
    <w:rsid w:val="00C86791"/>
    <w:rsid w:val="00CB2D3A"/>
    <w:rsid w:val="00CC6BAC"/>
    <w:rsid w:val="00CF5317"/>
    <w:rsid w:val="00D1566B"/>
    <w:rsid w:val="00D2147B"/>
    <w:rsid w:val="00D5322E"/>
    <w:rsid w:val="00D82228"/>
    <w:rsid w:val="00D84163"/>
    <w:rsid w:val="00D900BD"/>
    <w:rsid w:val="00DA1538"/>
    <w:rsid w:val="00DC7023"/>
    <w:rsid w:val="00DD57F9"/>
    <w:rsid w:val="00DE15D8"/>
    <w:rsid w:val="00DE786B"/>
    <w:rsid w:val="00E11F5C"/>
    <w:rsid w:val="00E22264"/>
    <w:rsid w:val="00E52A93"/>
    <w:rsid w:val="00E6617A"/>
    <w:rsid w:val="00E7554B"/>
    <w:rsid w:val="00EA1A45"/>
    <w:rsid w:val="00EB4FB5"/>
    <w:rsid w:val="00ED0958"/>
    <w:rsid w:val="00EE2064"/>
    <w:rsid w:val="00EE6F45"/>
    <w:rsid w:val="00EF092C"/>
    <w:rsid w:val="00F22AA3"/>
    <w:rsid w:val="00F24464"/>
    <w:rsid w:val="00F27591"/>
    <w:rsid w:val="00F27D17"/>
    <w:rsid w:val="00F42FD8"/>
    <w:rsid w:val="00F43964"/>
    <w:rsid w:val="00FE130C"/>
    <w:rsid w:val="00FF1C85"/>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E6186"/>
  <w15:chartTrackingRefBased/>
  <w15:docId w15:val="{31C6226C-8125-2E4E-BFF2-8621DEF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C20E9E"/>
    <w:pPr>
      <w:spacing w:after="200" w:line="276" w:lineRule="auto"/>
    </w:pPr>
    <w:rPr>
      <w:rFonts w:eastAsia="Times New Roman"/>
      <w:sz w:val="22"/>
      <w:szCs w:val="22"/>
    </w:rPr>
  </w:style>
  <w:style w:type="paragraph" w:styleId="Heading1">
    <w:name w:val="heading 1"/>
    <w:basedOn w:val="Normal"/>
    <w:next w:val="Normal"/>
    <w:link w:val="Heading1Char"/>
    <w:qFormat/>
    <w:rsid w:val="002A702C"/>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2A702C"/>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702C"/>
    <w:rPr>
      <w:rFonts w:ascii="Arial" w:eastAsia="Times New Roman" w:hAnsi="Arial" w:cs="Arial"/>
      <w:b/>
      <w:bCs/>
      <w:kern w:val="32"/>
      <w:sz w:val="32"/>
      <w:szCs w:val="32"/>
    </w:rPr>
  </w:style>
  <w:style w:type="character" w:customStyle="1" w:styleId="Heading3Char">
    <w:name w:val="Heading 3 Char"/>
    <w:link w:val="Heading3"/>
    <w:rsid w:val="002A702C"/>
    <w:rPr>
      <w:rFonts w:ascii="Arial" w:eastAsia="Times New Roman" w:hAnsi="Arial" w:cs="Arial"/>
      <w:b/>
      <w:bCs/>
      <w:sz w:val="26"/>
      <w:szCs w:val="26"/>
    </w:rPr>
  </w:style>
  <w:style w:type="paragraph" w:customStyle="1" w:styleId="MediumGrid1-Accent21">
    <w:name w:val="Medium Grid 1 - Accent 21"/>
    <w:basedOn w:val="Normal"/>
    <w:uiPriority w:val="34"/>
    <w:qFormat/>
    <w:rsid w:val="00F57F53"/>
    <w:pPr>
      <w:ind w:left="720"/>
      <w:contextualSpacing/>
    </w:pPr>
    <w:rPr>
      <w:rFonts w:eastAsia="Calibri"/>
    </w:rPr>
  </w:style>
  <w:style w:type="paragraph" w:styleId="BalloonText">
    <w:name w:val="Balloon Text"/>
    <w:basedOn w:val="Normal"/>
    <w:semiHidden/>
    <w:rsid w:val="00F31959"/>
    <w:rPr>
      <w:rFonts w:ascii="Tahoma" w:hAnsi="Tahoma" w:cs="Tahoma"/>
      <w:sz w:val="16"/>
      <w:szCs w:val="16"/>
    </w:rPr>
  </w:style>
  <w:style w:type="character" w:styleId="CommentReference">
    <w:name w:val="annotation reference"/>
    <w:uiPriority w:val="99"/>
    <w:semiHidden/>
    <w:rsid w:val="00F31959"/>
    <w:rPr>
      <w:sz w:val="16"/>
      <w:szCs w:val="16"/>
    </w:rPr>
  </w:style>
  <w:style w:type="paragraph" w:styleId="CommentText">
    <w:name w:val="annotation text"/>
    <w:basedOn w:val="Normal"/>
    <w:semiHidden/>
    <w:rsid w:val="00F31959"/>
    <w:rPr>
      <w:sz w:val="20"/>
      <w:szCs w:val="20"/>
    </w:rPr>
  </w:style>
  <w:style w:type="paragraph" w:styleId="CommentSubject">
    <w:name w:val="annotation subject"/>
    <w:basedOn w:val="CommentText"/>
    <w:next w:val="CommentText"/>
    <w:semiHidden/>
    <w:rsid w:val="00F31959"/>
    <w:rPr>
      <w:b/>
      <w:bCs/>
    </w:rPr>
  </w:style>
  <w:style w:type="paragraph" w:styleId="Header">
    <w:name w:val="header"/>
    <w:basedOn w:val="Normal"/>
    <w:link w:val="HeaderChar"/>
    <w:uiPriority w:val="99"/>
    <w:unhideWhenUsed/>
    <w:rsid w:val="00825D7A"/>
    <w:pPr>
      <w:tabs>
        <w:tab w:val="center" w:pos="4680"/>
        <w:tab w:val="right" w:pos="9360"/>
      </w:tabs>
      <w:spacing w:after="0" w:line="240" w:lineRule="auto"/>
    </w:pPr>
    <w:rPr>
      <w:rFonts w:ascii="Cambria" w:eastAsia="MS Mincho" w:hAnsi="Cambria"/>
      <w:sz w:val="24"/>
      <w:szCs w:val="24"/>
    </w:rPr>
  </w:style>
  <w:style w:type="character" w:customStyle="1" w:styleId="HeaderChar">
    <w:name w:val="Header Char"/>
    <w:link w:val="Header"/>
    <w:uiPriority w:val="99"/>
    <w:rsid w:val="00825D7A"/>
    <w:rPr>
      <w:rFonts w:ascii="Cambria" w:eastAsia="MS Mincho" w:hAnsi="Cambria"/>
      <w:sz w:val="24"/>
      <w:szCs w:val="24"/>
    </w:rPr>
  </w:style>
  <w:style w:type="paragraph" w:customStyle="1" w:styleId="ColorfulList-Accent11">
    <w:name w:val="Colorful List - Accent 11"/>
    <w:basedOn w:val="Normal"/>
    <w:uiPriority w:val="34"/>
    <w:qFormat/>
    <w:rsid w:val="004E2E87"/>
    <w:pPr>
      <w:spacing w:after="0" w:line="240" w:lineRule="auto"/>
      <w:ind w:left="720"/>
    </w:pPr>
    <w:rPr>
      <w:rFonts w:eastAsia="Calibri" w:cs="Calibri"/>
    </w:rPr>
  </w:style>
  <w:style w:type="character" w:styleId="Hyperlink">
    <w:name w:val="Hyperlink"/>
    <w:basedOn w:val="DefaultParagraphFont"/>
    <w:uiPriority w:val="99"/>
    <w:unhideWhenUsed/>
    <w:rsid w:val="00424E8F"/>
    <w:rPr>
      <w:color w:val="0563C1" w:themeColor="hyperlink"/>
      <w:u w:val="single"/>
    </w:rPr>
  </w:style>
  <w:style w:type="character" w:customStyle="1" w:styleId="CharChar1">
    <w:name w:val="Char Char1"/>
    <w:rsid w:val="00942789"/>
    <w:rPr>
      <w:rFonts w:ascii="Arial" w:hAnsi="Arial" w:cs="Arial"/>
      <w:b/>
      <w:bCs/>
      <w:kern w:val="32"/>
      <w:sz w:val="32"/>
      <w:szCs w:val="32"/>
      <w:lang w:val="en-US" w:eastAsia="en-US" w:bidi="ar-SA"/>
    </w:rPr>
  </w:style>
  <w:style w:type="character" w:styleId="FollowedHyperlink">
    <w:name w:val="FollowedHyperlink"/>
    <w:basedOn w:val="DefaultParagraphFont"/>
    <w:uiPriority w:val="99"/>
    <w:semiHidden/>
    <w:unhideWhenUsed/>
    <w:rsid w:val="002759FA"/>
    <w:rPr>
      <w:color w:val="954F72" w:themeColor="followedHyperlink"/>
      <w:u w:val="single"/>
    </w:rPr>
  </w:style>
  <w:style w:type="paragraph" w:styleId="Footer">
    <w:name w:val="footer"/>
    <w:basedOn w:val="Normal"/>
    <w:link w:val="FooterChar"/>
    <w:uiPriority w:val="99"/>
    <w:unhideWhenUsed/>
    <w:rsid w:val="0074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09"/>
    <w:rPr>
      <w:rFonts w:eastAsia="Times New Roman"/>
      <w:sz w:val="22"/>
      <w:szCs w:val="22"/>
    </w:rPr>
  </w:style>
  <w:style w:type="paragraph" w:styleId="NormalWeb">
    <w:name w:val="Normal (Web)"/>
    <w:basedOn w:val="Normal"/>
    <w:uiPriority w:val="99"/>
    <w:semiHidden/>
    <w:unhideWhenUsed/>
    <w:rsid w:val="007A617F"/>
    <w:rPr>
      <w:rFonts w:ascii="Times New Roman" w:hAnsi="Times New Roman"/>
      <w:sz w:val="24"/>
      <w:szCs w:val="24"/>
    </w:rPr>
  </w:style>
  <w:style w:type="character" w:styleId="UnresolvedMention">
    <w:name w:val="Unresolved Mention"/>
    <w:basedOn w:val="DefaultParagraphFont"/>
    <w:uiPriority w:val="99"/>
    <w:rsid w:val="0002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5034">
      <w:bodyDiv w:val="1"/>
      <w:marLeft w:val="0"/>
      <w:marRight w:val="0"/>
      <w:marTop w:val="0"/>
      <w:marBottom w:val="0"/>
      <w:divBdr>
        <w:top w:val="none" w:sz="0" w:space="0" w:color="auto"/>
        <w:left w:val="none" w:sz="0" w:space="0" w:color="auto"/>
        <w:bottom w:val="none" w:sz="0" w:space="0" w:color="auto"/>
        <w:right w:val="none" w:sz="0" w:space="0" w:color="auto"/>
      </w:divBdr>
    </w:div>
    <w:div w:id="212549145">
      <w:bodyDiv w:val="1"/>
      <w:marLeft w:val="0"/>
      <w:marRight w:val="0"/>
      <w:marTop w:val="0"/>
      <w:marBottom w:val="0"/>
      <w:divBdr>
        <w:top w:val="none" w:sz="0" w:space="0" w:color="auto"/>
        <w:left w:val="none" w:sz="0" w:space="0" w:color="auto"/>
        <w:bottom w:val="none" w:sz="0" w:space="0" w:color="auto"/>
        <w:right w:val="none" w:sz="0" w:space="0" w:color="auto"/>
      </w:divBdr>
    </w:div>
    <w:div w:id="232855380">
      <w:bodyDiv w:val="1"/>
      <w:marLeft w:val="0"/>
      <w:marRight w:val="0"/>
      <w:marTop w:val="0"/>
      <w:marBottom w:val="0"/>
      <w:divBdr>
        <w:top w:val="none" w:sz="0" w:space="0" w:color="auto"/>
        <w:left w:val="none" w:sz="0" w:space="0" w:color="auto"/>
        <w:bottom w:val="none" w:sz="0" w:space="0" w:color="auto"/>
        <w:right w:val="none" w:sz="0" w:space="0" w:color="auto"/>
      </w:divBdr>
    </w:div>
    <w:div w:id="244415614">
      <w:bodyDiv w:val="1"/>
      <w:marLeft w:val="0"/>
      <w:marRight w:val="0"/>
      <w:marTop w:val="0"/>
      <w:marBottom w:val="0"/>
      <w:divBdr>
        <w:top w:val="none" w:sz="0" w:space="0" w:color="auto"/>
        <w:left w:val="none" w:sz="0" w:space="0" w:color="auto"/>
        <w:bottom w:val="none" w:sz="0" w:space="0" w:color="auto"/>
        <w:right w:val="none" w:sz="0" w:space="0" w:color="auto"/>
      </w:divBdr>
    </w:div>
    <w:div w:id="347872714">
      <w:bodyDiv w:val="1"/>
      <w:marLeft w:val="0"/>
      <w:marRight w:val="0"/>
      <w:marTop w:val="0"/>
      <w:marBottom w:val="0"/>
      <w:divBdr>
        <w:top w:val="none" w:sz="0" w:space="0" w:color="auto"/>
        <w:left w:val="none" w:sz="0" w:space="0" w:color="auto"/>
        <w:bottom w:val="none" w:sz="0" w:space="0" w:color="auto"/>
        <w:right w:val="none" w:sz="0" w:space="0" w:color="auto"/>
      </w:divBdr>
    </w:div>
    <w:div w:id="499856629">
      <w:bodyDiv w:val="1"/>
      <w:marLeft w:val="0"/>
      <w:marRight w:val="0"/>
      <w:marTop w:val="0"/>
      <w:marBottom w:val="0"/>
      <w:divBdr>
        <w:top w:val="none" w:sz="0" w:space="0" w:color="auto"/>
        <w:left w:val="none" w:sz="0" w:space="0" w:color="auto"/>
        <w:bottom w:val="none" w:sz="0" w:space="0" w:color="auto"/>
        <w:right w:val="none" w:sz="0" w:space="0" w:color="auto"/>
      </w:divBdr>
    </w:div>
    <w:div w:id="540240688">
      <w:bodyDiv w:val="1"/>
      <w:marLeft w:val="0"/>
      <w:marRight w:val="0"/>
      <w:marTop w:val="0"/>
      <w:marBottom w:val="0"/>
      <w:divBdr>
        <w:top w:val="none" w:sz="0" w:space="0" w:color="auto"/>
        <w:left w:val="none" w:sz="0" w:space="0" w:color="auto"/>
        <w:bottom w:val="none" w:sz="0" w:space="0" w:color="auto"/>
        <w:right w:val="none" w:sz="0" w:space="0" w:color="auto"/>
      </w:divBdr>
    </w:div>
    <w:div w:id="633408888">
      <w:bodyDiv w:val="1"/>
      <w:marLeft w:val="0"/>
      <w:marRight w:val="0"/>
      <w:marTop w:val="0"/>
      <w:marBottom w:val="0"/>
      <w:divBdr>
        <w:top w:val="none" w:sz="0" w:space="0" w:color="auto"/>
        <w:left w:val="none" w:sz="0" w:space="0" w:color="auto"/>
        <w:bottom w:val="none" w:sz="0" w:space="0" w:color="auto"/>
        <w:right w:val="none" w:sz="0" w:space="0" w:color="auto"/>
      </w:divBdr>
    </w:div>
    <w:div w:id="705569088">
      <w:bodyDiv w:val="1"/>
      <w:marLeft w:val="0"/>
      <w:marRight w:val="0"/>
      <w:marTop w:val="0"/>
      <w:marBottom w:val="0"/>
      <w:divBdr>
        <w:top w:val="none" w:sz="0" w:space="0" w:color="auto"/>
        <w:left w:val="none" w:sz="0" w:space="0" w:color="auto"/>
        <w:bottom w:val="none" w:sz="0" w:space="0" w:color="auto"/>
        <w:right w:val="none" w:sz="0" w:space="0" w:color="auto"/>
      </w:divBdr>
    </w:div>
    <w:div w:id="942492297">
      <w:bodyDiv w:val="1"/>
      <w:marLeft w:val="0"/>
      <w:marRight w:val="0"/>
      <w:marTop w:val="0"/>
      <w:marBottom w:val="0"/>
      <w:divBdr>
        <w:top w:val="none" w:sz="0" w:space="0" w:color="auto"/>
        <w:left w:val="none" w:sz="0" w:space="0" w:color="auto"/>
        <w:bottom w:val="none" w:sz="0" w:space="0" w:color="auto"/>
        <w:right w:val="none" w:sz="0" w:space="0" w:color="auto"/>
      </w:divBdr>
    </w:div>
    <w:div w:id="950865048">
      <w:bodyDiv w:val="1"/>
      <w:marLeft w:val="0"/>
      <w:marRight w:val="0"/>
      <w:marTop w:val="0"/>
      <w:marBottom w:val="0"/>
      <w:divBdr>
        <w:top w:val="none" w:sz="0" w:space="0" w:color="auto"/>
        <w:left w:val="none" w:sz="0" w:space="0" w:color="auto"/>
        <w:bottom w:val="none" w:sz="0" w:space="0" w:color="auto"/>
        <w:right w:val="none" w:sz="0" w:space="0" w:color="auto"/>
      </w:divBdr>
    </w:div>
    <w:div w:id="1057049739">
      <w:bodyDiv w:val="1"/>
      <w:marLeft w:val="0"/>
      <w:marRight w:val="0"/>
      <w:marTop w:val="0"/>
      <w:marBottom w:val="0"/>
      <w:divBdr>
        <w:top w:val="none" w:sz="0" w:space="0" w:color="auto"/>
        <w:left w:val="none" w:sz="0" w:space="0" w:color="auto"/>
        <w:bottom w:val="none" w:sz="0" w:space="0" w:color="auto"/>
        <w:right w:val="none" w:sz="0" w:space="0" w:color="auto"/>
      </w:divBdr>
    </w:div>
    <w:div w:id="1095173622">
      <w:bodyDiv w:val="1"/>
      <w:marLeft w:val="0"/>
      <w:marRight w:val="0"/>
      <w:marTop w:val="0"/>
      <w:marBottom w:val="0"/>
      <w:divBdr>
        <w:top w:val="none" w:sz="0" w:space="0" w:color="auto"/>
        <w:left w:val="none" w:sz="0" w:space="0" w:color="auto"/>
        <w:bottom w:val="none" w:sz="0" w:space="0" w:color="auto"/>
        <w:right w:val="none" w:sz="0" w:space="0" w:color="auto"/>
      </w:divBdr>
    </w:div>
    <w:div w:id="1156915839">
      <w:bodyDiv w:val="1"/>
      <w:marLeft w:val="0"/>
      <w:marRight w:val="0"/>
      <w:marTop w:val="0"/>
      <w:marBottom w:val="0"/>
      <w:divBdr>
        <w:top w:val="none" w:sz="0" w:space="0" w:color="auto"/>
        <w:left w:val="none" w:sz="0" w:space="0" w:color="auto"/>
        <w:bottom w:val="none" w:sz="0" w:space="0" w:color="auto"/>
        <w:right w:val="none" w:sz="0" w:space="0" w:color="auto"/>
      </w:divBdr>
    </w:div>
    <w:div w:id="1378504965">
      <w:bodyDiv w:val="1"/>
      <w:marLeft w:val="0"/>
      <w:marRight w:val="0"/>
      <w:marTop w:val="0"/>
      <w:marBottom w:val="0"/>
      <w:divBdr>
        <w:top w:val="none" w:sz="0" w:space="0" w:color="auto"/>
        <w:left w:val="none" w:sz="0" w:space="0" w:color="auto"/>
        <w:bottom w:val="none" w:sz="0" w:space="0" w:color="auto"/>
        <w:right w:val="none" w:sz="0" w:space="0" w:color="auto"/>
      </w:divBdr>
    </w:div>
    <w:div w:id="1396389840">
      <w:bodyDiv w:val="1"/>
      <w:marLeft w:val="0"/>
      <w:marRight w:val="0"/>
      <w:marTop w:val="0"/>
      <w:marBottom w:val="0"/>
      <w:divBdr>
        <w:top w:val="none" w:sz="0" w:space="0" w:color="auto"/>
        <w:left w:val="none" w:sz="0" w:space="0" w:color="auto"/>
        <w:bottom w:val="none" w:sz="0" w:space="0" w:color="auto"/>
        <w:right w:val="none" w:sz="0" w:space="0" w:color="auto"/>
      </w:divBdr>
    </w:div>
    <w:div w:id="1640695405">
      <w:bodyDiv w:val="1"/>
      <w:marLeft w:val="0"/>
      <w:marRight w:val="0"/>
      <w:marTop w:val="0"/>
      <w:marBottom w:val="0"/>
      <w:divBdr>
        <w:top w:val="none" w:sz="0" w:space="0" w:color="auto"/>
        <w:left w:val="none" w:sz="0" w:space="0" w:color="auto"/>
        <w:bottom w:val="none" w:sz="0" w:space="0" w:color="auto"/>
        <w:right w:val="none" w:sz="0" w:space="0" w:color="auto"/>
      </w:divBdr>
    </w:div>
    <w:div w:id="1688361512">
      <w:bodyDiv w:val="1"/>
      <w:marLeft w:val="0"/>
      <w:marRight w:val="0"/>
      <w:marTop w:val="0"/>
      <w:marBottom w:val="0"/>
      <w:divBdr>
        <w:top w:val="none" w:sz="0" w:space="0" w:color="auto"/>
        <w:left w:val="none" w:sz="0" w:space="0" w:color="auto"/>
        <w:bottom w:val="none" w:sz="0" w:space="0" w:color="auto"/>
        <w:right w:val="none" w:sz="0" w:space="0" w:color="auto"/>
      </w:divBdr>
    </w:div>
    <w:div w:id="1703440648">
      <w:bodyDiv w:val="1"/>
      <w:marLeft w:val="0"/>
      <w:marRight w:val="0"/>
      <w:marTop w:val="0"/>
      <w:marBottom w:val="0"/>
      <w:divBdr>
        <w:top w:val="none" w:sz="0" w:space="0" w:color="auto"/>
        <w:left w:val="none" w:sz="0" w:space="0" w:color="auto"/>
        <w:bottom w:val="none" w:sz="0" w:space="0" w:color="auto"/>
        <w:right w:val="none" w:sz="0" w:space="0" w:color="auto"/>
      </w:divBdr>
    </w:div>
    <w:div w:id="1961689550">
      <w:bodyDiv w:val="1"/>
      <w:marLeft w:val="0"/>
      <w:marRight w:val="0"/>
      <w:marTop w:val="0"/>
      <w:marBottom w:val="0"/>
      <w:divBdr>
        <w:top w:val="none" w:sz="0" w:space="0" w:color="auto"/>
        <w:left w:val="none" w:sz="0" w:space="0" w:color="auto"/>
        <w:bottom w:val="none" w:sz="0" w:space="0" w:color="auto"/>
        <w:right w:val="none" w:sz="0" w:space="0" w:color="auto"/>
      </w:divBdr>
    </w:div>
    <w:div w:id="2000647546">
      <w:bodyDiv w:val="1"/>
      <w:marLeft w:val="0"/>
      <w:marRight w:val="0"/>
      <w:marTop w:val="0"/>
      <w:marBottom w:val="0"/>
      <w:divBdr>
        <w:top w:val="none" w:sz="0" w:space="0" w:color="auto"/>
        <w:left w:val="none" w:sz="0" w:space="0" w:color="auto"/>
        <w:bottom w:val="none" w:sz="0" w:space="0" w:color="auto"/>
        <w:right w:val="none" w:sz="0" w:space="0" w:color="auto"/>
      </w:divBdr>
    </w:div>
    <w:div w:id="2076590379">
      <w:bodyDiv w:val="1"/>
      <w:marLeft w:val="0"/>
      <w:marRight w:val="0"/>
      <w:marTop w:val="0"/>
      <w:marBottom w:val="0"/>
      <w:divBdr>
        <w:top w:val="none" w:sz="0" w:space="0" w:color="auto"/>
        <w:left w:val="none" w:sz="0" w:space="0" w:color="auto"/>
        <w:bottom w:val="none" w:sz="0" w:space="0" w:color="auto"/>
        <w:right w:val="none" w:sz="0" w:space="0" w:color="auto"/>
      </w:divBdr>
    </w:div>
    <w:div w:id="21383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gherlogic.com/p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igherlogic.desk.com/customer/en/portal/articles/971439-support-policies?t=773981" TargetMode="External"/><Relationship Id="rId4" Type="http://schemas.openxmlformats.org/officeDocument/2006/relationships/webSettings" Target="webSettings.xml"/><Relationship Id="rId9" Type="http://schemas.openxmlformats.org/officeDocument/2006/relationships/hyperlink" Target="https://higherlogic.desk.com/customer/en/portal/articles/971439-support-policies?t=7739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Subscription Agreement</vt:lpstr>
    </vt:vector>
  </TitlesOfParts>
  <Company>Emory University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Agreement</dc:title>
  <dc:subject/>
  <dc:creator>Owner</dc:creator>
  <cp:keywords/>
  <cp:lastModifiedBy>Heather McNair</cp:lastModifiedBy>
  <cp:revision>2</cp:revision>
  <cp:lastPrinted>2018-09-13T01:33:00Z</cp:lastPrinted>
  <dcterms:created xsi:type="dcterms:W3CDTF">2019-04-08T13:21:00Z</dcterms:created>
  <dcterms:modified xsi:type="dcterms:W3CDTF">2019-04-08T13:21:00Z</dcterms:modified>
</cp:coreProperties>
</file>